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jelo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1013460</wp:posOffset>
            </wp:positionH>
            <wp:positionV relativeFrom="line">
              <wp:posOffset>-265430</wp:posOffset>
            </wp:positionV>
            <wp:extent cx="381000" cy="476250"/>
            <wp:effectExtent l="0" t="0" r="0" b="0"/>
            <wp:wrapNone/>
            <wp:docPr id="1073741825" name="officeArt object" descr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lika 2" descr="Slika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Tijelo"/>
        <w:spacing w:after="0"/>
        <w:ind w:firstLine="708"/>
        <w:rPr>
          <w:rFonts w:ascii="Arial" w:cs="Arial" w:hAnsi="Arial" w:eastAsia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  <w:rtl w:val="0"/>
        </w:rPr>
        <w:t xml:space="preserve"> REPUBLIKA HRVATSKA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kern w:val="1"/>
          <w:sz w:val="24"/>
          <w:szCs w:val="24"/>
          <w:rtl w:val="0"/>
        </w:rPr>
        <w:t xml:space="preserve">PRIMORSKO-GORANSKA </w:t>
      </w:r>
      <w:r>
        <w:rPr>
          <w:rFonts w:ascii="Arial" w:hAnsi="Arial" w:hint="default"/>
          <w:kern w:val="1"/>
          <w:sz w:val="24"/>
          <w:szCs w:val="24"/>
          <w:rtl w:val="0"/>
        </w:rPr>
        <w:t>Ž</w:t>
      </w:r>
      <w:r>
        <w:rPr>
          <w:rFonts w:ascii="Arial" w:hAnsi="Arial"/>
          <w:kern w:val="1"/>
          <w:sz w:val="24"/>
          <w:szCs w:val="24"/>
          <w:rtl w:val="0"/>
        </w:rPr>
        <w:t>UPANIJA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kern w:val="1"/>
          <w:sz w:val="24"/>
          <w:szCs w:val="24"/>
          <w:rtl w:val="0"/>
        </w:rPr>
        <w:t xml:space="preserve">     OP</w:t>
      </w:r>
      <w:r>
        <w:rPr>
          <w:rFonts w:ascii="Arial" w:hAnsi="Arial" w:hint="default"/>
          <w:kern w:val="1"/>
          <w:sz w:val="24"/>
          <w:szCs w:val="24"/>
          <w:rtl w:val="0"/>
        </w:rPr>
        <w:t>Ć</w:t>
      </w:r>
      <w:r>
        <w:rPr>
          <w:rFonts w:ascii="Arial" w:hAnsi="Arial"/>
          <w:kern w:val="1"/>
          <w:sz w:val="24"/>
          <w:szCs w:val="24"/>
          <w:rtl w:val="0"/>
        </w:rPr>
        <w:t>INA VINODOLSKA OP</w:t>
      </w:r>
      <w:r>
        <w:rPr>
          <w:rFonts w:ascii="Arial" w:hAnsi="Arial" w:hint="default"/>
          <w:kern w:val="1"/>
          <w:sz w:val="24"/>
          <w:szCs w:val="24"/>
          <w:rtl w:val="0"/>
        </w:rPr>
        <w:t>Ć</w:t>
      </w:r>
      <w:r>
        <w:rPr>
          <w:rFonts w:ascii="Arial" w:hAnsi="Arial"/>
          <w:kern w:val="1"/>
          <w:sz w:val="24"/>
          <w:szCs w:val="24"/>
          <w:rtl w:val="0"/>
        </w:rPr>
        <w:t>INA</w:t>
      </w:r>
    </w:p>
    <w:p>
      <w:pPr>
        <w:pStyle w:val="Tijelo"/>
        <w:spacing w:after="0"/>
        <w:ind w:left="708" w:firstLine="0"/>
        <w:rPr>
          <w:rFonts w:ascii="Arial" w:cs="Arial" w:hAnsi="Arial" w:eastAsia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  <w:rtl w:val="0"/>
        </w:rPr>
        <w:t xml:space="preserve"> Jedinstveni upravni odjel</w:t>
      </w:r>
    </w:p>
    <w:p>
      <w:pPr>
        <w:pStyle w:val="Tijelo"/>
        <w:spacing w:after="0"/>
        <w:ind w:firstLine="708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  <w:lang w:val="en-US"/>
        </w:rPr>
        <w:t>KLASA: 013-01/26-01/7</w:t>
      </w:r>
    </w:p>
    <w:p>
      <w:pPr>
        <w:pStyle w:val="Tijelo"/>
        <w:spacing w:after="0"/>
        <w:rPr>
          <w:rFonts w:ascii="Arial" w:cs="Arial" w:hAnsi="Arial" w:eastAsia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  <w:rtl w:val="0"/>
        </w:rPr>
        <w:t>URBROJ:</w:t>
      </w:r>
      <w:r>
        <w:rPr>
          <w:rFonts w:ascii="Arial" w:hAnsi="Arial"/>
          <w:sz w:val="24"/>
          <w:szCs w:val="24"/>
          <w:rtl w:val="0"/>
        </w:rPr>
        <w:t xml:space="preserve"> 2170-34-01-26-1</w:t>
      </w:r>
    </w:p>
    <w:p>
      <w:pPr>
        <w:pStyle w:val="Tijelo"/>
        <w:spacing w:after="0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 w:line="240" w:lineRule="auto"/>
        <w:rPr>
          <w:rFonts w:ascii="Arial" w:cs="Arial" w:hAnsi="Arial" w:eastAsia="Arial"/>
          <w:kern w:val="1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 xml:space="preserve">Bribir, 12. lipnja 2026. </w:t>
      </w:r>
    </w:p>
    <w:p>
      <w:pPr>
        <w:pStyle w:val="Tijelo"/>
        <w:spacing w:after="60" w:line="24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60" w:line="240" w:lineRule="auto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60" w:line="240" w:lineRule="auto"/>
        <w:ind w:firstLine="708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Jedinstveni upravni odjel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Vinodolske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 xml:space="preserve">ine, na temelju odredbe 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lanka 11. stavka 2. Zakona o pravu na pristup informacijama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Narodne novine" broj 25/13, 85/15 i 69/22), objavljuje</w:t>
      </w:r>
    </w:p>
    <w:p>
      <w:pPr>
        <w:pStyle w:val="Tijelo"/>
        <w:spacing w:after="6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60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SAVJETOVANJE SA ZAINTERESIRANOM JAVNO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ŠĆ</w:t>
      </w:r>
      <w:r>
        <w:rPr>
          <w:rFonts w:ascii="Arial" w:hAnsi="Arial"/>
          <w:b w:val="1"/>
          <w:bCs w:val="1"/>
          <w:sz w:val="24"/>
          <w:szCs w:val="24"/>
          <w:rtl w:val="0"/>
        </w:rPr>
        <w:t>U</w:t>
      </w:r>
    </w:p>
    <w:p>
      <w:pPr>
        <w:pStyle w:val="Normal (Web)"/>
        <w:spacing w:before="0" w:after="0"/>
        <w:ind w:left="708" w:hanging="708"/>
        <w:jc w:val="center"/>
        <w:rPr>
          <w:rFonts w:ascii="Arial" w:cs="Arial" w:hAnsi="Arial" w:eastAsia="Arial"/>
          <w:b w:val="1"/>
          <w:bCs w:val="1"/>
          <w:kern w:val="2"/>
        </w:rPr>
      </w:pPr>
    </w:p>
    <w:p>
      <w:pPr>
        <w:pStyle w:val="Tijelo"/>
        <w:spacing w:after="0"/>
        <w:jc w:val="both"/>
        <w:rPr>
          <w:rFonts w:ascii="Arial" w:cs="Arial" w:hAnsi="Arial" w:eastAsia="Arial"/>
          <w:b w:val="1"/>
          <w:bCs w:val="1"/>
          <w:kern w:val="2"/>
          <w:sz w:val="24"/>
          <w:szCs w:val="24"/>
        </w:rPr>
      </w:pPr>
      <w:r>
        <w:rPr>
          <w:rFonts w:ascii="Arial" w:cs="Arial" w:hAnsi="Arial" w:eastAsia="Arial"/>
          <w:b w:val="1"/>
          <w:bCs w:val="1"/>
          <w:kern w:val="2"/>
          <w:sz w:val="24"/>
          <w:szCs w:val="24"/>
          <w:rtl w:val="0"/>
        </w:rPr>
        <w:tab/>
        <w:t>PREDMET: Odluka o grobljima</w:t>
      </w:r>
    </w:p>
    <w:p>
      <w:pPr>
        <w:pStyle w:val="Tijelo"/>
        <w:spacing w:after="0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spacing w:after="0"/>
        <w:ind w:right="0"/>
        <w:jc w:val="both"/>
        <w:rPr>
          <w:rFonts w:ascii="Arial" w:hAnsi="Arial"/>
          <w:b w:val="1"/>
          <w:bCs w:val="1"/>
          <w:sz w:val="24"/>
          <w:szCs w:val="24"/>
          <w:rtl w:val="0"/>
        </w:rPr>
      </w:pPr>
      <w:r>
        <w:rPr>
          <w:rFonts w:ascii="Arial" w:hAnsi="Arial"/>
          <w:b w:val="0"/>
          <w:bCs w:val="0"/>
          <w:i w:val="1"/>
          <w:iCs w:val="1"/>
          <w:kern w:val="2"/>
          <w:sz w:val="24"/>
          <w:szCs w:val="24"/>
          <w:rtl w:val="0"/>
        </w:rPr>
        <w:t>Nacrt prijedloga za savjetovanje s javno</w:t>
      </w:r>
      <w:r>
        <w:rPr>
          <w:rFonts w:ascii="Arial" w:hAnsi="Arial" w:hint="default"/>
          <w:b w:val="0"/>
          <w:bCs w:val="0"/>
          <w:i w:val="1"/>
          <w:iCs w:val="1"/>
          <w:kern w:val="2"/>
          <w:sz w:val="24"/>
          <w:szCs w:val="24"/>
          <w:rtl w:val="0"/>
        </w:rPr>
        <w:t>šć</w:t>
      </w:r>
      <w:r>
        <w:rPr>
          <w:rFonts w:ascii="Arial" w:hAnsi="Arial"/>
          <w:b w:val="0"/>
          <w:bCs w:val="0"/>
          <w:i w:val="1"/>
          <w:iCs w:val="1"/>
          <w:kern w:val="2"/>
          <w:sz w:val="24"/>
          <w:szCs w:val="24"/>
          <w:rtl w:val="0"/>
        </w:rPr>
        <w:t xml:space="preserve">u </w:t>
      </w:r>
    </w:p>
    <w:p>
      <w:pPr>
        <w:pStyle w:val="List Paragraph"/>
        <w:ind w:left="1068" w:firstLine="0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List Paragraph"/>
        <w:widowControl w:val="0"/>
        <w:tabs>
          <w:tab w:val="left" w:pos="622"/>
          <w:tab w:val="left" w:pos="1560"/>
        </w:tabs>
        <w:suppressAutoHyphens w:val="1"/>
        <w:spacing w:after="0" w:line="240" w:lineRule="auto"/>
        <w:ind w:left="2325" w:firstLine="0"/>
        <w:rPr>
          <w:rFonts w:ascii="Arial" w:cs="Arial" w:hAnsi="Arial" w:eastAsia="Arial"/>
          <w:i w:val="1"/>
          <w:iCs w:val="1"/>
          <w:kern w:val="2"/>
          <w:sz w:val="24"/>
          <w:szCs w:val="24"/>
        </w:rPr>
      </w:pPr>
    </w:p>
    <w:p>
      <w:pPr>
        <w:pStyle w:val="Tijelo"/>
        <w:spacing w:after="0" w:line="240" w:lineRule="auto"/>
        <w:ind w:firstLine="708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Pravni temelj</w:t>
      </w:r>
    </w:p>
    <w:p>
      <w:pPr>
        <w:pStyle w:val="Tijelo"/>
        <w:spacing w:after="0"/>
        <w:ind w:firstLine="708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Pravni temelj za dono</w:t>
      </w:r>
      <w:r>
        <w:rPr>
          <w:rFonts w:ascii="Arial" w:hAnsi="Arial" w:hint="default"/>
          <w:sz w:val="24"/>
          <w:szCs w:val="24"/>
          <w:rtl w:val="0"/>
        </w:rPr>
        <w:t>š</w:t>
      </w:r>
      <w:r>
        <w:rPr>
          <w:rFonts w:ascii="Arial" w:hAnsi="Arial"/>
          <w:sz w:val="24"/>
          <w:szCs w:val="24"/>
          <w:rtl w:val="0"/>
        </w:rPr>
        <w:t xml:space="preserve">enje </w:t>
      </w:r>
      <w:r>
        <w:rPr>
          <w:rFonts w:ascii="Arial" w:hAnsi="Arial"/>
          <w:kern w:val="2"/>
          <w:sz w:val="24"/>
          <w:szCs w:val="24"/>
          <w:rtl w:val="0"/>
        </w:rPr>
        <w:t xml:space="preserve">Odluke o grobljima </w:t>
      </w:r>
      <w:r>
        <w:rPr>
          <w:rFonts w:ascii="Arial" w:hAnsi="Arial"/>
          <w:sz w:val="24"/>
          <w:szCs w:val="24"/>
          <w:rtl w:val="0"/>
        </w:rPr>
        <w:t>sadr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 xml:space="preserve">an je u odredbama 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lanka 9. stavka 10. Zakona o grobljima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 xml:space="preserve">Narodne novine" broj 78/25 i 80/25), 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lanka 35. Zakona o lokalnoj i podru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noj (regionalnoj) samoupravi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Narodne novine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</w:rPr>
        <w:t xml:space="preserve">broj 33/01, 60/01, 129/05, 109/07, 125/08, 36/09, 150/11, 144/12, 19/13, 137/15, 123/17, 98/19 i 144/20) i 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lanka 48. Statuta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Vinodolske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  <w:lang w:val="de-DE"/>
        </w:rPr>
        <w:t>ine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Slu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 xml:space="preserve">bene novine Primorsko-goranske 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upanije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</w:rPr>
        <w:t xml:space="preserve">broj 40/09, 15/13, 30/13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</w:rPr>
        <w:t>pro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i</w:t>
      </w:r>
      <w:r>
        <w:rPr>
          <w:rFonts w:ascii="Arial" w:hAnsi="Arial" w:hint="default"/>
          <w:sz w:val="24"/>
          <w:szCs w:val="24"/>
          <w:rtl w:val="0"/>
        </w:rPr>
        <w:t>šć</w:t>
      </w:r>
      <w:r>
        <w:rPr>
          <w:rFonts w:ascii="Arial" w:hAnsi="Arial"/>
          <w:sz w:val="24"/>
          <w:szCs w:val="24"/>
          <w:rtl w:val="0"/>
        </w:rPr>
        <w:t xml:space="preserve">eni tekst, 7/18, 2/19, 13/20, 41/20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</w:rPr>
        <w:t>pro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i</w:t>
      </w:r>
      <w:r>
        <w:rPr>
          <w:rFonts w:ascii="Arial" w:hAnsi="Arial" w:hint="default"/>
          <w:sz w:val="24"/>
          <w:szCs w:val="24"/>
          <w:rtl w:val="0"/>
        </w:rPr>
        <w:t>šć</w:t>
      </w:r>
      <w:r>
        <w:rPr>
          <w:rFonts w:ascii="Arial" w:hAnsi="Arial"/>
          <w:sz w:val="24"/>
          <w:szCs w:val="24"/>
          <w:rtl w:val="0"/>
        </w:rPr>
        <w:t>eni tekst i 8/21).</w:t>
      </w:r>
    </w:p>
    <w:p>
      <w:pPr>
        <w:pStyle w:val="Tijelo"/>
        <w:spacing w:after="0"/>
        <w:ind w:firstLine="708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 w:line="240" w:lineRule="auto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</w:r>
      <w:r>
        <w:rPr>
          <w:rFonts w:ascii="Arial" w:hAnsi="Arial"/>
          <w:b w:val="1"/>
          <w:bCs w:val="1"/>
          <w:sz w:val="24"/>
          <w:szCs w:val="24"/>
          <w:rtl w:val="0"/>
        </w:rPr>
        <w:t>Obrazlo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enje</w:t>
        <w:tab/>
      </w:r>
    </w:p>
    <w:p>
      <w:pPr>
        <w:pStyle w:val="Tijelo"/>
        <w:spacing w:after="0" w:line="240" w:lineRule="auto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b w:val="1"/>
          <w:bCs w:val="1"/>
          <w:sz w:val="24"/>
          <w:szCs w:val="24"/>
        </w:rPr>
        <w:tab/>
      </w:r>
      <w:r>
        <w:rPr>
          <w:rFonts w:ascii="Arial" w:hAnsi="Arial"/>
          <w:sz w:val="24"/>
          <w:szCs w:val="24"/>
          <w:rtl w:val="0"/>
          <w:lang w:val="nl-NL"/>
        </w:rPr>
        <w:t>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insko vije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nl-NL"/>
        </w:rPr>
        <w:t>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Vinodolske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donijelo je Odluku o grobljima 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Slu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 xml:space="preserve">bene novine Primorsko-goranske 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upanije</w:t>
      </w:r>
      <w:r>
        <w:rPr>
          <w:rFonts w:ascii="Arial" w:hAnsi="Arial" w:hint="default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</w:rPr>
        <w:t>broj 44/22), a sukladno obvezi iz novog Zakona o grobljima (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Narodne novine" broj 78/25 i 80/25)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insko vije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  <w:lang w:val="fr-FR"/>
        </w:rPr>
        <w:t>e du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 xml:space="preserve">no je u roku od godine dana od dana stupanja na snagu cit. Zakona donijeti novu Odluku o grobljima.  </w:t>
        <w:tab/>
        <w:tab/>
      </w:r>
    </w:p>
    <w:p>
      <w:pPr>
        <w:pStyle w:val="List Paragraph"/>
        <w:spacing w:after="0"/>
        <w:ind w:left="0" w:firstLine="0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>Novi Zakon o grobljima propisuje obvezu jedinice lokalne samouprave da u roku od godinu dana donese Odluku o grobljima, kojom se ure</w:t>
      </w:r>
      <w:r>
        <w:rPr>
          <w:rFonts w:ascii="Arial" w:hAnsi="Arial" w:hint="default"/>
          <w:sz w:val="24"/>
          <w:szCs w:val="24"/>
          <w:rtl w:val="0"/>
        </w:rPr>
        <w:t>đ</w:t>
      </w:r>
      <w:r>
        <w:rPr>
          <w:rFonts w:ascii="Arial" w:hAnsi="Arial"/>
          <w:sz w:val="24"/>
          <w:szCs w:val="24"/>
          <w:rtl w:val="0"/>
        </w:rPr>
        <w:t>uje na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in upravljanja, odr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avanja, kori</w:t>
      </w:r>
      <w:r>
        <w:rPr>
          <w:rFonts w:ascii="Arial" w:hAnsi="Arial" w:hint="default"/>
          <w:sz w:val="24"/>
          <w:szCs w:val="24"/>
          <w:rtl w:val="0"/>
        </w:rPr>
        <w:t>š</w:t>
      </w:r>
      <w:r>
        <w:rPr>
          <w:rFonts w:ascii="Arial" w:hAnsi="Arial"/>
          <w:sz w:val="24"/>
          <w:szCs w:val="24"/>
          <w:rtl w:val="0"/>
        </w:rPr>
        <w:t>tenja i razvoja groblja. Odluka o grobljima klju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ni je akt kojim se osigurava transparentno, u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inkovito i dostojanstveno upravljanje grobljima, u skladu s va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e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 xml:space="preserve">im zakonskim propisima i potrebama lokalne zajednice. </w:t>
      </w:r>
    </w:p>
    <w:p>
      <w:pPr>
        <w:pStyle w:val="List Paragraph"/>
        <w:spacing w:after="0"/>
        <w:ind w:left="0" w:firstLine="0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>Svrha Odluke je osigurati pravni okvir za u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inkovito i transparentno upravljanje grobljima sukladno novom Zakonu o grobljima. Predlo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enom Odlukom jasno  se propisuju prava i obveza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Vinodolske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 xml:space="preserve">ine, upravitelja groblja i korisnika groblja. Odlukom se uvode i neki novi instituti kao </w:t>
      </w:r>
      <w:r>
        <w:rPr>
          <w:rFonts w:ascii="Arial" w:hAnsi="Arial" w:hint="default"/>
          <w:sz w:val="24"/>
          <w:szCs w:val="24"/>
          <w:rtl w:val="0"/>
        </w:rPr>
        <w:t>š</w:t>
      </w:r>
      <w:r>
        <w:rPr>
          <w:rFonts w:ascii="Arial" w:hAnsi="Arial"/>
          <w:sz w:val="24"/>
          <w:szCs w:val="24"/>
          <w:rtl w:val="0"/>
        </w:rPr>
        <w:t>to je npr. prosipanje posmrtnih ostataka kremiranih osoba itd.</w:t>
      </w:r>
    </w:p>
    <w:p>
      <w:pPr>
        <w:pStyle w:val="List Paragraph"/>
        <w:spacing w:after="0"/>
        <w:ind w:left="0" w:firstLine="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</w:rPr>
        <w:tab/>
      </w:r>
      <w:r>
        <w:rPr>
          <w:rFonts w:ascii="Arial" w:hAnsi="Arial"/>
          <w:b w:val="1"/>
          <w:bCs w:val="1"/>
          <w:sz w:val="24"/>
          <w:szCs w:val="24"/>
          <w:rtl w:val="0"/>
        </w:rPr>
        <w:t>Potrebna financijska sredstva</w:t>
      </w:r>
    </w:p>
    <w:p>
      <w:pPr>
        <w:pStyle w:val="Tijelo"/>
        <w:spacing w:after="0"/>
        <w:jc w:val="both"/>
        <w:rPr>
          <w:rFonts w:ascii="Arial" w:cs="Arial" w:hAnsi="Arial" w:eastAsia="Arial"/>
          <w:kern w:val="2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>Financijska sredstva potrebna za dono</w:t>
      </w:r>
      <w:r>
        <w:rPr>
          <w:rFonts w:ascii="Arial" w:hAnsi="Arial" w:hint="default"/>
          <w:sz w:val="24"/>
          <w:szCs w:val="24"/>
          <w:rtl w:val="0"/>
        </w:rPr>
        <w:t>š</w:t>
      </w:r>
      <w:r>
        <w:rPr>
          <w:rFonts w:ascii="Arial" w:hAnsi="Arial"/>
          <w:sz w:val="24"/>
          <w:szCs w:val="24"/>
          <w:rtl w:val="0"/>
        </w:rPr>
        <w:t>enje Odluke o grobljima</w:t>
      </w:r>
      <w:r>
        <w:rPr>
          <w:rFonts w:ascii="Arial" w:hAnsi="Arial"/>
          <w:kern w:val="2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</w:rPr>
        <w:t>osigurana su u Prora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unu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Vinodolske op</w:t>
      </w:r>
      <w:r>
        <w:rPr>
          <w:rFonts w:ascii="Arial" w:hAnsi="Arial" w:hint="default"/>
          <w:sz w:val="24"/>
          <w:szCs w:val="24"/>
          <w:rtl w:val="0"/>
        </w:rPr>
        <w:t>ć</w:t>
      </w:r>
      <w:r>
        <w:rPr>
          <w:rFonts w:ascii="Arial" w:hAnsi="Arial"/>
          <w:sz w:val="24"/>
          <w:szCs w:val="24"/>
          <w:rtl w:val="0"/>
        </w:rPr>
        <w:t>ine za 2026. godinu.</w:t>
      </w:r>
    </w:p>
    <w:p>
      <w:pPr>
        <w:pStyle w:val="Tijelo"/>
        <w:spacing w:after="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 w:line="240" w:lineRule="auto"/>
        <w:ind w:firstLine="720"/>
        <w:jc w:val="both"/>
        <w:rPr>
          <w:rStyle w:val="Hyperlink.0"/>
        </w:rPr>
      </w:pPr>
      <w:r>
        <w:rPr>
          <w:rFonts w:ascii="Arial" w:hAnsi="Arial"/>
          <w:sz w:val="24"/>
          <w:szCs w:val="24"/>
          <w:rtl w:val="0"/>
        </w:rPr>
        <w:t>T</w:t>
      </w:r>
      <w:r>
        <w:rPr>
          <w:rFonts w:ascii="Arial" w:hAnsi="Arial"/>
          <w:kern w:val="2"/>
          <w:sz w:val="24"/>
          <w:szCs w:val="24"/>
          <w:rtl w:val="0"/>
        </w:rPr>
        <w:t xml:space="preserve">emeljem </w:t>
      </w:r>
      <w:r>
        <w:rPr>
          <w:rFonts w:ascii="Arial" w:hAnsi="Arial" w:hint="default"/>
          <w:kern w:val="2"/>
          <w:sz w:val="24"/>
          <w:szCs w:val="24"/>
          <w:rtl w:val="0"/>
        </w:rPr>
        <w:t>č</w:t>
      </w:r>
      <w:r>
        <w:rPr>
          <w:rFonts w:ascii="Arial" w:hAnsi="Arial"/>
          <w:kern w:val="2"/>
          <w:sz w:val="24"/>
          <w:szCs w:val="24"/>
          <w:rtl w:val="0"/>
        </w:rPr>
        <w:t>lanka 11. Zakona o pravu na pristup informacijama (</w:t>
      </w:r>
      <w:r>
        <w:rPr>
          <w:rFonts w:ascii="Arial" w:hAnsi="Arial" w:hint="default"/>
          <w:kern w:val="2"/>
          <w:sz w:val="24"/>
          <w:szCs w:val="24"/>
          <w:rtl w:val="0"/>
        </w:rPr>
        <w:t>„</w:t>
      </w:r>
      <w:r>
        <w:rPr>
          <w:rFonts w:ascii="Arial" w:hAnsi="Arial"/>
          <w:kern w:val="2"/>
          <w:sz w:val="24"/>
          <w:szCs w:val="24"/>
          <w:rtl w:val="0"/>
        </w:rPr>
        <w:t>Narodne novine</w:t>
      </w:r>
      <w:r>
        <w:rPr>
          <w:rFonts w:ascii="Arial" w:hAnsi="Arial" w:hint="default"/>
          <w:kern w:val="2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kern w:val="2"/>
          <w:sz w:val="24"/>
          <w:szCs w:val="24"/>
          <w:rtl w:val="0"/>
        </w:rPr>
        <w:t xml:space="preserve">broj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"https://www.zakon.hr/cms.htm?id=12099"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25/13</w:t>
      </w:r>
      <w:r>
        <w:rPr/>
        <w:fldChar w:fldCharType="end" w:fldLock="0"/>
      </w:r>
      <w:r>
        <w:rPr>
          <w:rStyle w:val="Hyperlink.0"/>
          <w:rtl w:val="0"/>
        </w:rPr>
        <w:t>,</w:t>
      </w:r>
      <w:r>
        <w:rPr>
          <w:rStyle w:val="Hyperlink.0"/>
          <w:rtl w:val="0"/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"https://www.zakon.hr/cms.htm?id=12101"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85/15</w:t>
      </w:r>
      <w:r>
        <w:rPr/>
        <w:fldChar w:fldCharType="end" w:fldLock="0"/>
      </w:r>
      <w:r>
        <w:rPr>
          <w:rStyle w:val="Bez"/>
          <w:rtl w:val="0"/>
        </w:rPr>
        <w:t xml:space="preserve"> i</w:t>
      </w:r>
      <w:r>
        <w:rPr>
          <w:rStyle w:val="Hyperlink.0"/>
          <w:rtl w:val="0"/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"https://www.zakon.hr/cms.htm?id=52735"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69/22</w:t>
      </w:r>
      <w:r>
        <w:rPr/>
        <w:fldChar w:fldCharType="end" w:fldLock="0"/>
      </w:r>
      <w:r>
        <w:rPr>
          <w:rStyle w:val="Hyperlink.0"/>
          <w:rtl w:val="0"/>
        </w:rPr>
        <w:t>) jedinice lokalne samouprave du</w:t>
      </w:r>
      <w:r>
        <w:rPr>
          <w:rStyle w:val="Hyperlink.0"/>
          <w:rtl w:val="0"/>
        </w:rPr>
        <w:t>ž</w:t>
      </w:r>
      <w:r>
        <w:rPr>
          <w:rStyle w:val="Hyperlink.0"/>
          <w:rtl w:val="0"/>
        </w:rPr>
        <w:t>ne su provoditi savjetovanje s javno</w:t>
      </w:r>
      <w:r>
        <w:rPr>
          <w:rStyle w:val="Hyperlink.0"/>
          <w:rtl w:val="0"/>
        </w:rPr>
        <w:t>šć</w:t>
      </w:r>
      <w:r>
        <w:rPr>
          <w:rStyle w:val="Hyperlink.0"/>
          <w:rtl w:val="0"/>
        </w:rPr>
        <w:t>u pri dono</w:t>
      </w:r>
      <w:r>
        <w:rPr>
          <w:rStyle w:val="Hyperlink.0"/>
          <w:rtl w:val="0"/>
        </w:rPr>
        <w:t>š</w:t>
      </w:r>
      <w:r>
        <w:rPr>
          <w:rStyle w:val="Hyperlink.0"/>
          <w:rtl w:val="0"/>
        </w:rPr>
        <w:t>enju op</w:t>
      </w:r>
      <w:r>
        <w:rPr>
          <w:rStyle w:val="Hyperlink.0"/>
          <w:rtl w:val="0"/>
        </w:rPr>
        <w:t>ć</w:t>
      </w:r>
      <w:r>
        <w:rPr>
          <w:rStyle w:val="Hyperlink.0"/>
          <w:rtl w:val="0"/>
        </w:rPr>
        <w:t>ih akata odnosno drugih strate</w:t>
      </w:r>
      <w:r>
        <w:rPr>
          <w:rStyle w:val="Hyperlink.0"/>
          <w:rtl w:val="0"/>
        </w:rPr>
        <w:t>š</w:t>
      </w:r>
      <w:r>
        <w:rPr>
          <w:rStyle w:val="Hyperlink.0"/>
          <w:rtl w:val="0"/>
        </w:rPr>
        <w:t>kih ili planskih dokumenata kad se njima utje</w:t>
      </w:r>
      <w:r>
        <w:rPr>
          <w:rStyle w:val="Hyperlink.0"/>
          <w:rtl w:val="0"/>
        </w:rPr>
        <w:t>č</w:t>
      </w:r>
      <w:r>
        <w:rPr>
          <w:rStyle w:val="Hyperlink.0"/>
          <w:rtl w:val="0"/>
          <w:lang w:val="pt-PT"/>
        </w:rPr>
        <w:t>e na interes gra</w:t>
      </w:r>
      <w:r>
        <w:rPr>
          <w:rStyle w:val="Hyperlink.0"/>
          <w:rtl w:val="0"/>
        </w:rPr>
        <w:t>đ</w:t>
      </w:r>
      <w:r>
        <w:rPr>
          <w:rStyle w:val="Hyperlink.0"/>
          <w:rtl w:val="0"/>
        </w:rPr>
        <w:t>ana i pravnih osoba.</w:t>
      </w:r>
    </w:p>
    <w:p>
      <w:pPr>
        <w:pStyle w:val="Tijelo"/>
        <w:spacing w:after="0" w:line="240" w:lineRule="auto"/>
        <w:ind w:firstLine="720"/>
        <w:jc w:val="both"/>
        <w:rPr>
          <w:rStyle w:val="Bez"/>
          <w:rFonts w:ascii="Arial" w:cs="Arial" w:hAnsi="Arial" w:eastAsia="Arial"/>
          <w:outline w:val="0"/>
          <w:color w:val="ee0000"/>
          <w:sz w:val="24"/>
          <w:szCs w:val="24"/>
          <w:u w:color="ee0000"/>
          <w14:textFill>
            <w14:solidFill>
              <w14:srgbClr w14:val="EE0000"/>
            </w14:solidFill>
          </w14:textFill>
        </w:rPr>
      </w:pPr>
    </w:p>
    <w:p>
      <w:pPr>
        <w:pStyle w:val="Tijelo"/>
        <w:suppressAutoHyphens w:val="1"/>
        <w:spacing w:after="240" w:line="259" w:lineRule="auto"/>
        <w:ind w:firstLine="708"/>
        <w:jc w:val="both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Hyperlink.0"/>
          <w:rtl w:val="0"/>
        </w:rPr>
        <w:t>Na taj se na</w:t>
      </w:r>
      <w:r>
        <w:rPr>
          <w:rStyle w:val="Hyperlink.0"/>
          <w:rtl w:val="0"/>
        </w:rPr>
        <w:t>č</w:t>
      </w:r>
      <w:r>
        <w:rPr>
          <w:rStyle w:val="Hyperlink.0"/>
          <w:rtl w:val="0"/>
        </w:rPr>
        <w:t xml:space="preserve">in </w:t>
      </w:r>
      <w:r>
        <w:rPr>
          <w:rStyle w:val="Hyperlink.0"/>
          <w:rtl w:val="0"/>
        </w:rPr>
        <w:t>ž</w:t>
      </w:r>
      <w:r>
        <w:rPr>
          <w:rStyle w:val="Hyperlink.0"/>
          <w:rtl w:val="0"/>
        </w:rPr>
        <w:t>eli upoznati javnost s predlo</w:t>
      </w:r>
      <w:r>
        <w:rPr>
          <w:rStyle w:val="Hyperlink.0"/>
          <w:rtl w:val="0"/>
        </w:rPr>
        <w:t>ž</w:t>
      </w:r>
      <w:r>
        <w:rPr>
          <w:rStyle w:val="Hyperlink.0"/>
          <w:rtl w:val="0"/>
        </w:rPr>
        <w:t xml:space="preserve">enim Nacrtom </w:t>
      </w:r>
      <w:r>
        <w:rPr>
          <w:rStyle w:val="Bez"/>
          <w:rFonts w:ascii="Arial" w:hAnsi="Arial"/>
          <w:outline w:val="0"/>
          <w:color w:val="000000"/>
          <w:kern w:val="2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prijedloga </w:t>
      </w:r>
      <w:r>
        <w:rPr>
          <w:rStyle w:val="Bez"/>
          <w:rFonts w:ascii="Arial" w:hAnsi="Arial"/>
          <w:kern w:val="2"/>
          <w:sz w:val="24"/>
          <w:szCs w:val="24"/>
          <w:rtl w:val="0"/>
        </w:rPr>
        <w:t xml:space="preserve">Odluke o grobljima i </w:t>
      </w:r>
      <w:r>
        <w:rPr>
          <w:rStyle w:val="Hyperlink.0"/>
          <w:rtl w:val="0"/>
        </w:rPr>
        <w:t>pribaviti primjedbe, prijedloge i/ili mi</w:t>
      </w:r>
      <w:r>
        <w:rPr>
          <w:rStyle w:val="Hyperlink.0"/>
          <w:rtl w:val="0"/>
        </w:rPr>
        <w:t>š</w:t>
      </w:r>
      <w:r>
        <w:rPr>
          <w:rStyle w:val="Hyperlink.0"/>
          <w:rtl w:val="0"/>
        </w:rPr>
        <w:t>ljenja zainteresirane javnosti, kako bi predlo</w:t>
      </w:r>
      <w:r>
        <w:rPr>
          <w:rStyle w:val="Hyperlink.0"/>
          <w:rtl w:val="0"/>
        </w:rPr>
        <w:t>ž</w:t>
      </w:r>
      <w:r>
        <w:rPr>
          <w:rStyle w:val="Hyperlink.0"/>
          <w:rtl w:val="0"/>
        </w:rPr>
        <w:t>eno, ukoliko je zakonito i stru</w:t>
      </w:r>
      <w:r>
        <w:rPr>
          <w:rStyle w:val="Hyperlink.0"/>
          <w:rtl w:val="0"/>
        </w:rPr>
        <w:t>č</w:t>
      </w:r>
      <w:r>
        <w:rPr>
          <w:rStyle w:val="Hyperlink.0"/>
          <w:rtl w:val="0"/>
        </w:rPr>
        <w:t>no utemeljeno, bilo prihva</w:t>
      </w:r>
      <w:r>
        <w:rPr>
          <w:rStyle w:val="Hyperlink.0"/>
          <w:rtl w:val="0"/>
        </w:rPr>
        <w:t>ć</w:t>
      </w:r>
      <w:r>
        <w:rPr>
          <w:rStyle w:val="Hyperlink.0"/>
          <w:rtl w:val="0"/>
        </w:rPr>
        <w:t>eno od strane donositelja istog i u kona</w:t>
      </w:r>
      <w:r>
        <w:rPr>
          <w:rStyle w:val="Hyperlink.0"/>
          <w:rtl w:val="0"/>
        </w:rPr>
        <w:t>č</w:t>
      </w:r>
      <w:r>
        <w:rPr>
          <w:rStyle w:val="Hyperlink.0"/>
          <w:rtl w:val="0"/>
        </w:rPr>
        <w:t>nosti ugra</w:t>
      </w:r>
      <w:r>
        <w:rPr>
          <w:rStyle w:val="Hyperlink.0"/>
          <w:rtl w:val="0"/>
        </w:rPr>
        <w:t>đ</w:t>
      </w:r>
      <w:r>
        <w:rPr>
          <w:rStyle w:val="Hyperlink.0"/>
          <w:rtl w:val="0"/>
        </w:rPr>
        <w:t>eno u od</w:t>
      </w:r>
      <w:r>
        <w:rPr>
          <w:rStyle w:val="Hyperlink.0"/>
          <w:rtl w:val="0"/>
        </w:rPr>
        <w:t>luku</w:t>
      </w:r>
      <w:r>
        <w:rPr>
          <w:rStyle w:val="Bez"/>
          <w:rFonts w:ascii="Arial" w:hAnsi="Arial"/>
          <w:sz w:val="24"/>
          <w:szCs w:val="24"/>
          <w:rtl w:val="0"/>
        </w:rPr>
        <w:t>.</w:t>
      </w:r>
    </w:p>
    <w:p>
      <w:pPr>
        <w:pStyle w:val="Tijelo"/>
        <w:suppressAutoHyphens w:val="1"/>
        <w:spacing w:after="240" w:line="259" w:lineRule="auto"/>
        <w:ind w:firstLine="708"/>
        <w:jc w:val="both"/>
        <w:rPr>
          <w:rStyle w:val="Hyperlink.0"/>
        </w:rPr>
      </w:pPr>
      <w:r>
        <w:rPr>
          <w:rStyle w:val="Bez"/>
          <w:rFonts w:ascii="Arial" w:hAnsi="Arial"/>
          <w:sz w:val="24"/>
          <w:szCs w:val="24"/>
          <w:rtl w:val="0"/>
        </w:rPr>
        <w:t xml:space="preserve"> Savjetovanje sa zainteresiranom javno</w:t>
      </w:r>
      <w:r>
        <w:rPr>
          <w:rStyle w:val="Bez"/>
          <w:rFonts w:ascii="Arial" w:hAnsi="Arial" w:hint="default"/>
          <w:sz w:val="24"/>
          <w:szCs w:val="24"/>
          <w:rtl w:val="0"/>
        </w:rPr>
        <w:t>šć</w:t>
      </w:r>
      <w:r>
        <w:rPr>
          <w:rStyle w:val="Bez"/>
          <w:rFonts w:ascii="Arial" w:hAnsi="Arial"/>
          <w:sz w:val="24"/>
          <w:szCs w:val="24"/>
          <w:rtl w:val="0"/>
        </w:rPr>
        <w:t xml:space="preserve">u provest 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 xml:space="preserve">e se u trajanju </w:t>
      </w:r>
      <w:r>
        <w:rPr>
          <w:rStyle w:val="Bez"/>
          <w:rFonts w:ascii="Arial" w:hAnsi="Arial"/>
          <w:b w:val="1"/>
          <w:bCs w:val="1"/>
          <w:sz w:val="24"/>
          <w:szCs w:val="24"/>
          <w:rtl w:val="0"/>
        </w:rPr>
        <w:t>od 12. lipnja do 12. srpnja 2026. godine</w:t>
      </w:r>
      <w:r>
        <w:rPr>
          <w:rStyle w:val="Bez"/>
          <w:rFonts w:ascii="Arial" w:hAnsi="Arial"/>
          <w:sz w:val="24"/>
          <w:szCs w:val="24"/>
          <w:rtl w:val="0"/>
        </w:rPr>
        <w:t xml:space="preserve">. </w:t>
      </w:r>
    </w:p>
    <w:p>
      <w:pPr>
        <w:pStyle w:val="Tijelo"/>
        <w:suppressAutoHyphens w:val="1"/>
        <w:spacing w:after="0" w:line="259" w:lineRule="auto"/>
        <w:ind w:firstLine="708"/>
        <w:jc w:val="both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Bez"/>
          <w:rFonts w:ascii="Arial" w:hAnsi="Arial"/>
          <w:sz w:val="24"/>
          <w:szCs w:val="24"/>
          <w:rtl w:val="0"/>
        </w:rPr>
        <w:t>Pozivamo Vas da svoje primjedbe, prijedloge i/ili mi</w:t>
      </w:r>
      <w:r>
        <w:rPr>
          <w:rStyle w:val="Bez"/>
          <w:rFonts w:ascii="Arial" w:hAnsi="Arial" w:hint="default"/>
          <w:sz w:val="24"/>
          <w:szCs w:val="24"/>
          <w:rtl w:val="0"/>
        </w:rPr>
        <w:t>š</w:t>
      </w:r>
      <w:r>
        <w:rPr>
          <w:rStyle w:val="Bez"/>
          <w:rFonts w:ascii="Arial" w:hAnsi="Arial"/>
          <w:sz w:val="24"/>
          <w:szCs w:val="24"/>
          <w:rtl w:val="0"/>
        </w:rPr>
        <w:t xml:space="preserve">ljenja na Nacrt prijedloga </w:t>
      </w:r>
      <w:r>
        <w:rPr>
          <w:rStyle w:val="Hyperlink.0"/>
          <w:rtl w:val="0"/>
        </w:rPr>
        <w:t xml:space="preserve">Odluke o grobljima </w:t>
      </w:r>
      <w:r>
        <w:rPr>
          <w:rStyle w:val="Bez"/>
          <w:rFonts w:ascii="Arial" w:hAnsi="Arial"/>
          <w:sz w:val="24"/>
          <w:szCs w:val="24"/>
          <w:rtl w:val="0"/>
        </w:rPr>
        <w:t>dostavite na adresu elektroni</w:t>
      </w:r>
      <w:r>
        <w:rPr>
          <w:rStyle w:val="Bez"/>
          <w:rFonts w:ascii="Arial" w:hAnsi="Arial" w:hint="default"/>
          <w:sz w:val="24"/>
          <w:szCs w:val="24"/>
          <w:rtl w:val="0"/>
        </w:rPr>
        <w:t>č</w:t>
      </w:r>
      <w:r>
        <w:rPr>
          <w:rStyle w:val="Bez"/>
          <w:rFonts w:ascii="Arial" w:hAnsi="Arial"/>
          <w:sz w:val="24"/>
          <w:szCs w:val="24"/>
          <w:rtl w:val="0"/>
        </w:rPr>
        <w:t>ke po</w:t>
      </w:r>
      <w:r>
        <w:rPr>
          <w:rStyle w:val="Bez"/>
          <w:rFonts w:ascii="Arial" w:hAnsi="Arial" w:hint="default"/>
          <w:sz w:val="24"/>
          <w:szCs w:val="24"/>
          <w:rtl w:val="0"/>
        </w:rPr>
        <w:t>š</w:t>
      </w:r>
      <w:r>
        <w:rPr>
          <w:rStyle w:val="Bez"/>
          <w:rFonts w:ascii="Arial" w:hAnsi="Arial"/>
          <w:sz w:val="24"/>
          <w:szCs w:val="24"/>
          <w:rtl w:val="0"/>
        </w:rPr>
        <w:t xml:space="preserve">te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"mailto:ana.tomasek@vinodol.hr"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ana.tomasek@vinodol.hr</w:t>
      </w:r>
      <w:r>
        <w:rPr/>
        <w:fldChar w:fldCharType="end" w:fldLock="0"/>
      </w:r>
      <w:r>
        <w:rPr>
          <w:rStyle w:val="Bez"/>
          <w:rFonts w:ascii="Arial" w:hAnsi="Arial"/>
          <w:sz w:val="24"/>
          <w:szCs w:val="24"/>
          <w:rtl w:val="0"/>
        </w:rPr>
        <w:t xml:space="preserve">. </w:t>
      </w:r>
    </w:p>
    <w:p>
      <w:pPr>
        <w:pStyle w:val="Tijelo"/>
        <w:suppressAutoHyphens w:val="1"/>
        <w:spacing w:after="0" w:line="259" w:lineRule="auto"/>
        <w:ind w:firstLine="708"/>
        <w:jc w:val="both"/>
        <w:rPr>
          <w:rStyle w:val="Bez"/>
          <w:rFonts w:ascii="Arial" w:cs="Arial" w:hAnsi="Arial" w:eastAsia="Arial"/>
          <w:kern w:val="2"/>
          <w:sz w:val="24"/>
          <w:szCs w:val="24"/>
        </w:rPr>
      </w:pPr>
    </w:p>
    <w:p>
      <w:pPr>
        <w:pStyle w:val="Tijelo"/>
        <w:spacing w:after="240" w:line="259" w:lineRule="auto"/>
        <w:ind w:firstLine="708"/>
        <w:jc w:val="both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Bez"/>
          <w:rFonts w:ascii="Arial" w:hAnsi="Arial"/>
          <w:sz w:val="24"/>
          <w:szCs w:val="24"/>
          <w:rtl w:val="0"/>
        </w:rPr>
        <w:t>Primjedbe, prijedlozi i/ili mi</w:t>
      </w:r>
      <w:r>
        <w:rPr>
          <w:rStyle w:val="Bez"/>
          <w:rFonts w:ascii="Arial" w:hAnsi="Arial" w:hint="default"/>
          <w:sz w:val="24"/>
          <w:szCs w:val="24"/>
          <w:rtl w:val="0"/>
        </w:rPr>
        <w:t>š</w:t>
      </w:r>
      <w:r>
        <w:rPr>
          <w:rStyle w:val="Bez"/>
          <w:rFonts w:ascii="Arial" w:hAnsi="Arial"/>
          <w:sz w:val="24"/>
          <w:szCs w:val="24"/>
          <w:rtl w:val="0"/>
        </w:rPr>
        <w:t xml:space="preserve">ljenja za vrijeme trajanja javne rasprave i savjetovanja mogu se uputiti putem obrasca. </w:t>
      </w:r>
    </w:p>
    <w:p>
      <w:pPr>
        <w:pStyle w:val="Tijelo"/>
        <w:spacing w:after="240" w:line="259" w:lineRule="auto"/>
        <w:ind w:firstLine="708"/>
        <w:jc w:val="both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Bez"/>
          <w:rFonts w:ascii="Arial" w:hAnsi="Arial"/>
          <w:sz w:val="24"/>
          <w:szCs w:val="24"/>
          <w:rtl w:val="0"/>
        </w:rPr>
        <w:t>Po zavr</w:t>
      </w:r>
      <w:r>
        <w:rPr>
          <w:rStyle w:val="Bez"/>
          <w:rFonts w:ascii="Arial" w:hAnsi="Arial" w:hint="default"/>
          <w:sz w:val="24"/>
          <w:szCs w:val="24"/>
          <w:rtl w:val="0"/>
        </w:rPr>
        <w:t>š</w:t>
      </w:r>
      <w:r>
        <w:rPr>
          <w:rStyle w:val="Bez"/>
          <w:rFonts w:ascii="Arial" w:hAnsi="Arial"/>
          <w:sz w:val="24"/>
          <w:szCs w:val="24"/>
          <w:rtl w:val="0"/>
        </w:rPr>
        <w:t xml:space="preserve">etku savjetovanja biti 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>e objavljeno Izvje</w:t>
      </w:r>
      <w:r>
        <w:rPr>
          <w:rStyle w:val="Bez"/>
          <w:rFonts w:ascii="Arial" w:hAnsi="Arial" w:hint="default"/>
          <w:sz w:val="24"/>
          <w:szCs w:val="24"/>
          <w:rtl w:val="0"/>
        </w:rPr>
        <w:t>šć</w:t>
      </w:r>
      <w:r>
        <w:rPr>
          <w:rStyle w:val="Bez"/>
          <w:rFonts w:ascii="Arial" w:hAnsi="Arial"/>
          <w:sz w:val="24"/>
          <w:szCs w:val="24"/>
          <w:rtl w:val="0"/>
        </w:rPr>
        <w:t xml:space="preserve">e o provedenom savjetovanju. </w:t>
      </w:r>
    </w:p>
    <w:p>
      <w:pPr>
        <w:pStyle w:val="Tijelo"/>
        <w:suppressAutoHyphens w:val="1"/>
        <w:spacing w:after="240" w:line="259" w:lineRule="auto"/>
        <w:ind w:firstLine="708"/>
        <w:jc w:val="both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Bez"/>
          <w:rFonts w:ascii="Arial" w:hAnsi="Arial"/>
          <w:sz w:val="24"/>
          <w:szCs w:val="24"/>
          <w:rtl w:val="0"/>
        </w:rPr>
        <w:t xml:space="preserve">O usvajanju Prijedloga </w:t>
      </w:r>
      <w:r>
        <w:rPr>
          <w:rStyle w:val="Hyperlink.0"/>
          <w:rtl w:val="0"/>
        </w:rPr>
        <w:t>Odluke o grobljima</w:t>
      </w:r>
      <w:r>
        <w:rPr>
          <w:rStyle w:val="Bez"/>
          <w:rFonts w:ascii="Arial" w:hAnsi="Arial"/>
          <w:sz w:val="24"/>
          <w:szCs w:val="24"/>
          <w:rtl w:val="0"/>
        </w:rPr>
        <w:t xml:space="preserve"> raspravljati 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  <w:lang w:val="nl-NL"/>
        </w:rPr>
        <w:t>e Op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>insko vije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  <w:lang w:val="nl-NL"/>
        </w:rPr>
        <w:t>e Op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>ine Vinodolske op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>ine kao nadle</w:t>
      </w:r>
      <w:r>
        <w:rPr>
          <w:rStyle w:val="Bez"/>
          <w:rFonts w:ascii="Arial" w:hAnsi="Arial" w:hint="default"/>
          <w:sz w:val="24"/>
          <w:szCs w:val="24"/>
          <w:rtl w:val="0"/>
        </w:rPr>
        <w:t>ž</w:t>
      </w:r>
      <w:r>
        <w:rPr>
          <w:rStyle w:val="Bez"/>
          <w:rFonts w:ascii="Arial" w:hAnsi="Arial"/>
          <w:sz w:val="24"/>
          <w:szCs w:val="24"/>
          <w:rtl w:val="0"/>
        </w:rPr>
        <w:t>no predstavni</w:t>
      </w:r>
      <w:r>
        <w:rPr>
          <w:rStyle w:val="Bez"/>
          <w:rFonts w:ascii="Arial" w:hAnsi="Arial" w:hint="default"/>
          <w:sz w:val="24"/>
          <w:szCs w:val="24"/>
          <w:rtl w:val="0"/>
        </w:rPr>
        <w:t>č</w:t>
      </w:r>
      <w:r>
        <w:rPr>
          <w:rStyle w:val="Bez"/>
          <w:rFonts w:ascii="Arial" w:hAnsi="Arial"/>
          <w:sz w:val="24"/>
          <w:szCs w:val="24"/>
          <w:rtl w:val="0"/>
        </w:rPr>
        <w:t xml:space="preserve">ko tijelo. </w:t>
      </w:r>
    </w:p>
    <w:p>
      <w:pPr>
        <w:pStyle w:val="Tijelo"/>
        <w:spacing w:after="0"/>
        <w:ind w:firstLine="708"/>
        <w:jc w:val="both"/>
        <w:rPr>
          <w:rStyle w:val="Bez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Bez"/>
          <w:rFonts w:ascii="Arial" w:cs="Arial" w:hAnsi="Arial" w:eastAsia="Arial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 xml:space="preserve">                       </w:t>
      </w:r>
      <w:r>
        <w:rPr>
          <w:rStyle w:val="Bez"/>
          <w:rFonts w:ascii="Arial" w:hAnsi="Arial"/>
          <w:sz w:val="24"/>
          <w:szCs w:val="24"/>
          <w:rtl w:val="0"/>
        </w:rPr>
        <w:t>PRO</w:t>
      </w:r>
      <w:r>
        <w:rPr>
          <w:rStyle w:val="Bez"/>
          <w:rFonts w:ascii="Arial" w:hAnsi="Arial" w:hint="default"/>
          <w:sz w:val="24"/>
          <w:szCs w:val="24"/>
          <w:rtl w:val="0"/>
        </w:rPr>
        <w:t>Č</w:t>
      </w:r>
      <w:r>
        <w:rPr>
          <w:rStyle w:val="Bez"/>
          <w:rFonts w:ascii="Arial" w:hAnsi="Arial"/>
          <w:sz w:val="24"/>
          <w:szCs w:val="24"/>
          <w:rtl w:val="0"/>
        </w:rPr>
        <w:t>ELNIK:</w:t>
      </w:r>
    </w:p>
    <w:p>
      <w:pPr>
        <w:pStyle w:val="Tijelo"/>
        <w:spacing w:after="0"/>
        <w:ind w:left="4248" w:firstLine="708"/>
        <w:rPr>
          <w:rStyle w:val="Bez"/>
          <w:rFonts w:ascii="Arial" w:cs="Arial" w:hAnsi="Arial" w:eastAsia="Arial"/>
          <w:sz w:val="24"/>
          <w:szCs w:val="24"/>
        </w:rPr>
      </w:pPr>
      <w:r>
        <w:rPr>
          <w:rStyle w:val="Bez"/>
          <w:rFonts w:ascii="Arial" w:hAnsi="Arial"/>
          <w:sz w:val="24"/>
          <w:szCs w:val="24"/>
          <w:rtl w:val="0"/>
        </w:rPr>
        <w:t xml:space="preserve">                   Miljenko </w:t>
      </w:r>
      <w:r>
        <w:rPr>
          <w:rStyle w:val="Bez"/>
          <w:rFonts w:ascii="Arial" w:hAnsi="Arial" w:hint="default"/>
          <w:sz w:val="24"/>
          <w:szCs w:val="24"/>
          <w:rtl w:val="0"/>
        </w:rPr>
        <w:t>Š</w:t>
      </w:r>
      <w:r>
        <w:rPr>
          <w:rStyle w:val="Bez"/>
          <w:rFonts w:ascii="Arial" w:hAnsi="Arial"/>
          <w:sz w:val="24"/>
          <w:szCs w:val="24"/>
          <w:rtl w:val="0"/>
        </w:rPr>
        <w:t>imi</w:t>
      </w:r>
      <w:r>
        <w:rPr>
          <w:rStyle w:val="Bez"/>
          <w:rFonts w:ascii="Arial" w:hAnsi="Arial" w:hint="default"/>
          <w:sz w:val="24"/>
          <w:szCs w:val="24"/>
          <w:rtl w:val="0"/>
        </w:rPr>
        <w:t>ć</w:t>
      </w:r>
      <w:r>
        <w:rPr>
          <w:rStyle w:val="Bez"/>
          <w:rFonts w:ascii="Arial" w:hAnsi="Arial"/>
          <w:sz w:val="24"/>
          <w:szCs w:val="24"/>
          <w:rtl w:val="0"/>
        </w:rPr>
        <w:t>, v.r.</w:t>
      </w:r>
    </w:p>
    <w:p>
      <w:pPr>
        <w:pStyle w:val="Tijelo"/>
        <w:spacing w:after="0"/>
        <w:ind w:left="4248" w:firstLine="708"/>
        <w:rPr>
          <w:rStyle w:val="Bez"/>
          <w:rFonts w:ascii="Arial" w:cs="Arial" w:hAnsi="Arial" w:eastAsia="Arial"/>
          <w:sz w:val="24"/>
          <w:szCs w:val="24"/>
        </w:rPr>
      </w:pPr>
    </w:p>
    <w:p>
      <w:pPr>
        <w:pStyle w:val="Tijelo"/>
        <w:spacing w:after="0"/>
        <w:ind w:left="4248" w:firstLine="708"/>
        <w:rPr>
          <w:rStyle w:val="Bez"/>
          <w:rFonts w:ascii="Arial" w:cs="Arial" w:hAnsi="Arial" w:eastAsia="Arial"/>
          <w:sz w:val="24"/>
          <w:szCs w:val="24"/>
        </w:rPr>
      </w:pPr>
    </w:p>
    <w:p>
      <w:pPr>
        <w:pStyle w:val="Tijelo"/>
        <w:suppressAutoHyphens w:val="1"/>
        <w:spacing w:after="0" w:line="240" w:lineRule="auto"/>
        <w:jc w:val="both"/>
        <w:rPr>
          <w:rStyle w:val="Bez"/>
          <w:rFonts w:ascii="Arial" w:cs="Arial" w:hAnsi="Arial" w:eastAsia="Arial"/>
          <w:kern w:val="2"/>
          <w:sz w:val="24"/>
          <w:szCs w:val="24"/>
        </w:rPr>
      </w:pPr>
    </w:p>
    <w:p>
      <w:pPr>
        <w:pStyle w:val="Tijelo"/>
        <w:suppressAutoHyphens w:val="1"/>
        <w:spacing w:after="0" w:line="240" w:lineRule="auto"/>
        <w:jc w:val="both"/>
        <w:rPr>
          <w:rStyle w:val="Bez"/>
          <w:rFonts w:ascii="Arial" w:cs="Arial" w:hAnsi="Arial" w:eastAsia="Arial"/>
          <w:kern w:val="2"/>
          <w:sz w:val="24"/>
          <w:szCs w:val="24"/>
        </w:rPr>
      </w:pPr>
    </w:p>
    <w:p>
      <w:pPr>
        <w:pStyle w:val="Tijelo"/>
        <w:suppressAutoHyphens w:val="1"/>
        <w:spacing w:after="0" w:line="240" w:lineRule="auto"/>
        <w:jc w:val="both"/>
        <w:rPr>
          <w:rStyle w:val="Bez"/>
          <w:rFonts w:ascii="Arial" w:cs="Arial" w:hAnsi="Arial" w:eastAsia="Arial"/>
          <w:kern w:val="2"/>
          <w:sz w:val="24"/>
          <w:szCs w:val="24"/>
        </w:rPr>
      </w:pPr>
    </w:p>
    <w:p>
      <w:pPr>
        <w:pStyle w:val="Tijelo"/>
        <w:suppressAutoHyphens w:val="1"/>
        <w:spacing w:after="0" w:line="240" w:lineRule="auto"/>
        <w:jc w:val="both"/>
        <w:rPr>
          <w:rStyle w:val="Bez"/>
          <w:rFonts w:ascii="Arial" w:cs="Arial" w:hAnsi="Arial" w:eastAsia="Arial"/>
          <w:kern w:val="2"/>
        </w:rPr>
      </w:pPr>
      <w:r>
        <w:rPr>
          <w:rStyle w:val="Bez"/>
          <w:rFonts w:ascii="Arial" w:cs="Arial" w:hAnsi="Arial" w:eastAsia="Arial"/>
          <w:kern w:val="2"/>
          <w:rtl w:val="0"/>
        </w:rPr>
        <w:tab/>
        <w:t>U privitku:</w:t>
      </w:r>
    </w:p>
    <w:p>
      <w:pPr>
        <w:pStyle w:val="Tijelo"/>
        <w:suppressAutoHyphens w:val="1"/>
        <w:spacing w:after="0" w:line="240" w:lineRule="auto"/>
        <w:jc w:val="both"/>
        <w:rPr>
          <w:rStyle w:val="Bez"/>
          <w:rFonts w:ascii="Arial" w:cs="Arial" w:hAnsi="Arial" w:eastAsia="Arial"/>
          <w:kern w:val="2"/>
        </w:rPr>
      </w:pPr>
    </w:p>
    <w:p>
      <w:pPr>
        <w:pStyle w:val="Tijelo"/>
        <w:suppressAutoHyphens w:val="1"/>
        <w:spacing w:after="0" w:line="259" w:lineRule="auto"/>
        <w:ind w:firstLine="708"/>
        <w:jc w:val="both"/>
        <w:rPr>
          <w:rStyle w:val="Bez"/>
          <w:rFonts w:ascii="Arial" w:cs="Arial" w:hAnsi="Arial" w:eastAsia="Arial"/>
          <w:kern w:val="2"/>
        </w:rPr>
      </w:pPr>
      <w:r>
        <w:rPr>
          <w:rStyle w:val="Bez"/>
          <w:rFonts w:ascii="Arial" w:hAnsi="Arial"/>
          <w:kern w:val="2"/>
          <w:rtl w:val="0"/>
        </w:rPr>
        <w:t xml:space="preserve">- Nacrt prijedloga Odluke o grobljima </w:t>
      </w:r>
    </w:p>
    <w:p>
      <w:pPr>
        <w:pStyle w:val="Tijelo"/>
        <w:suppressAutoHyphens w:val="1"/>
        <w:spacing w:after="0" w:line="259" w:lineRule="auto"/>
        <w:ind w:firstLine="708"/>
        <w:jc w:val="both"/>
      </w:pPr>
      <w:r>
        <w:rPr>
          <w:rStyle w:val="Bez"/>
          <w:rFonts w:ascii="Arial" w:hAnsi="Arial"/>
          <w:kern w:val="2"/>
          <w:rtl w:val="0"/>
          <w:lang w:val="ru-RU"/>
        </w:rPr>
        <w:t xml:space="preserve">- </w:t>
      </w:r>
      <w:r>
        <w:rPr>
          <w:rStyle w:val="Bez"/>
          <w:rFonts w:ascii="Arial" w:hAnsi="Arial"/>
          <w:rtl w:val="0"/>
        </w:rPr>
        <w:t>Obrazac sudjelovanja u javnom savjetovanju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aglavlje i podnožj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aglavlje i podnožj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rani stil 1"/>
  </w:abstractNum>
  <w:abstractNum w:abstractNumId="1">
    <w:multiLevelType w:val="hybridMultilevel"/>
    <w:styleLink w:val="Importirani stil 1"/>
    <w:lvl w:ilvl="0">
      <w:start w:val="1"/>
      <w:numFmt w:val="bullet"/>
      <w:suff w:val="tab"/>
      <w:lvlText w:val="-"/>
      <w:lvlJc w:val="left"/>
      <w:pPr>
        <w:ind w:left="106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8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0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2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4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6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38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0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28" w:hanging="360"/>
      </w:pPr>
      <w:rPr>
        <w:rFonts w:ascii="Arial" w:cs="Arial" w:hAnsi="Arial" w:eastAsia="Arial"/>
        <w:b w:val="0"/>
        <w:bCs w:val="0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hrvatski" w:val="‘“(〔[{〈《「『【⦅〘〖«〝︵︷︹︻︽︿﹁﹃﹇﹙﹛﹝｢"/>
  <w:noLineBreaksBefore w:lang="hrvat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aglavlje i podnožje">
    <w:name w:val="Zaglavlje i podnožje"/>
    <w:next w:val="Zaglavlje i podnožj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jelo">
    <w:name w:val="Tijelo"/>
    <w:next w:val="Tij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irani stil 1">
    <w:name w:val="Importirani stil 1"/>
    <w:pPr>
      <w:numPr>
        <w:numId w:val="1"/>
      </w:numPr>
    </w:pPr>
  </w:style>
  <w:style w:type="character" w:styleId="Bez">
    <w:name w:val="Bez"/>
  </w:style>
  <w:style w:type="character" w:styleId="Hyperlink.0">
    <w:name w:val="Hyperlink.0"/>
    <w:basedOn w:val="Bez"/>
    <w:next w:val="Hyperlink.0"/>
    <w:rPr>
      <w:rFonts w:ascii="Arial" w:cs="Arial" w:hAnsi="Arial" w:eastAsia="Arial"/>
      <w:kern w:val="2"/>
      <w:sz w:val="24"/>
      <w:szCs w:val="24"/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1">
    <w:name w:val="Hyperlink.1"/>
    <w:basedOn w:val="Link"/>
    <w:next w:val="Hyperlink.1"/>
    <w:rPr>
      <w:rFonts w:ascii="Arial" w:cs="Arial" w:hAnsi="Arial" w:eastAsia="Arial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Tema sustav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sustav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sustav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