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900" w14:textId="77777777" w:rsidR="001933CA" w:rsidRPr="00F824CE" w:rsidRDefault="001933CA" w:rsidP="001933CA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5C9B3AA" wp14:editId="75FE4889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32850" w14:textId="77777777" w:rsidR="001933CA" w:rsidRPr="00FB7AA0" w:rsidRDefault="001933CA" w:rsidP="001933CA">
      <w:pPr>
        <w:spacing w:after="0"/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E6E73CE" w14:textId="77777777" w:rsidR="001933CA" w:rsidRPr="00FB7AA0" w:rsidRDefault="001933CA" w:rsidP="001933CA">
      <w:pPr>
        <w:spacing w:after="0"/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Jedinstveni upravni odjel</w:t>
      </w:r>
    </w:p>
    <w:p w14:paraId="4E5D9182" w14:textId="6F789DAF" w:rsidR="001933CA" w:rsidRPr="00D81D27" w:rsidRDefault="001933CA" w:rsidP="001933CA">
      <w:pPr>
        <w:spacing w:after="0"/>
        <w:ind w:firstLine="708"/>
        <w:rPr>
          <w:rFonts w:ascii="Arial" w:hAnsi="Arial" w:cs="Arial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Pr="00D81D27">
        <w:rPr>
          <w:rFonts w:ascii="Arial" w:hAnsi="Arial" w:cs="Arial"/>
          <w:sz w:val="24"/>
          <w:szCs w:val="24"/>
        </w:rPr>
        <w:t>KLASA: 130</w:t>
      </w:r>
      <w:r w:rsidRPr="00D81D27">
        <w:rPr>
          <w:rFonts w:ascii="Arial" w:hAnsi="Arial" w:cs="Arial"/>
          <w:sz w:val="24"/>
          <w:szCs w:val="24"/>
          <w:lang w:eastAsia="hr-HR"/>
        </w:rPr>
        <w:t>-01/25-01/</w:t>
      </w:r>
      <w:r w:rsidR="00D81D27" w:rsidRPr="00D81D27">
        <w:rPr>
          <w:rFonts w:ascii="Arial" w:hAnsi="Arial" w:cs="Arial"/>
          <w:sz w:val="24"/>
          <w:szCs w:val="24"/>
          <w:lang w:eastAsia="hr-HR"/>
        </w:rPr>
        <w:t>7</w:t>
      </w:r>
    </w:p>
    <w:p w14:paraId="76A402BD" w14:textId="77777777" w:rsidR="001933CA" w:rsidRPr="00D81D27" w:rsidRDefault="001933CA" w:rsidP="001933CA">
      <w:pPr>
        <w:spacing w:after="0"/>
        <w:rPr>
          <w:rFonts w:ascii="Arial" w:hAnsi="Arial" w:cs="Arial"/>
          <w:kern w:val="1"/>
          <w:sz w:val="24"/>
          <w:szCs w:val="24"/>
        </w:rPr>
      </w:pPr>
      <w:r w:rsidRPr="00D81D27">
        <w:rPr>
          <w:rFonts w:ascii="Arial" w:hAnsi="Arial" w:cs="Arial"/>
          <w:kern w:val="1"/>
          <w:sz w:val="24"/>
          <w:szCs w:val="24"/>
        </w:rPr>
        <w:t>URBROJ:</w:t>
      </w:r>
      <w:r w:rsidRPr="00D81D27">
        <w:rPr>
          <w:rFonts w:ascii="Arial" w:hAnsi="Arial" w:cs="Arial"/>
          <w:sz w:val="24"/>
          <w:szCs w:val="24"/>
        </w:rPr>
        <w:t xml:space="preserve"> 2170-34-01-25-1</w:t>
      </w:r>
    </w:p>
    <w:p w14:paraId="0D09F6B0" w14:textId="77777777" w:rsidR="001933CA" w:rsidRPr="00FB7AA0" w:rsidRDefault="001933CA" w:rsidP="001933CA">
      <w:pPr>
        <w:spacing w:after="0"/>
        <w:rPr>
          <w:rFonts w:ascii="Arial" w:hAnsi="Arial" w:cs="Arial"/>
          <w:sz w:val="24"/>
          <w:szCs w:val="24"/>
        </w:rPr>
      </w:pPr>
    </w:p>
    <w:p w14:paraId="66B33FA0" w14:textId="43550DCF" w:rsidR="001933CA" w:rsidRPr="001933CA" w:rsidRDefault="001933CA" w:rsidP="001933CA">
      <w:pPr>
        <w:spacing w:after="0" w:line="240" w:lineRule="auto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>
        <w:rPr>
          <w:rFonts w:ascii="Arial" w:hAnsi="Arial" w:cs="Arial"/>
          <w:sz w:val="24"/>
          <w:szCs w:val="24"/>
        </w:rPr>
        <w:t>15</w:t>
      </w:r>
      <w:r w:rsidRPr="00FB7AA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listopada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059CD1CB" w14:textId="77777777" w:rsidR="001933CA" w:rsidRDefault="001933CA" w:rsidP="001933C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2841F331" w14:textId="77777777" w:rsidR="001933CA" w:rsidRPr="00FB7AA0" w:rsidRDefault="001933CA" w:rsidP="001933C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6C29051A" w14:textId="77777777" w:rsidR="001933CA" w:rsidRPr="00FB7AA0" w:rsidRDefault="001933CA" w:rsidP="001933CA">
      <w:pPr>
        <w:spacing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7CB5A4A9" w14:textId="77777777" w:rsidR="001933CA" w:rsidRPr="00FB7AA0" w:rsidRDefault="001933CA" w:rsidP="001933C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F7AEF17" w14:textId="77777777" w:rsidR="001933CA" w:rsidRPr="00FB7AA0" w:rsidRDefault="001933CA" w:rsidP="001933CA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0A331D66" w14:textId="77777777" w:rsidR="001933CA" w:rsidRDefault="001933CA" w:rsidP="001933CA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hAnsi="Arial" w:cs="Arial"/>
          <w:b/>
          <w:kern w:val="2"/>
          <w:lang w:bidi="hi-IN"/>
        </w:rPr>
      </w:pPr>
    </w:p>
    <w:p w14:paraId="09D122B1" w14:textId="77777777" w:rsidR="00287A16" w:rsidRDefault="001933CA" w:rsidP="007E1F8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</w:t>
      </w:r>
      <w:r>
        <w:rPr>
          <w:rFonts w:ascii="Arial" w:hAnsi="Arial" w:cs="Arial"/>
          <w:b/>
          <w:sz w:val="24"/>
          <w:szCs w:val="24"/>
        </w:rPr>
        <w:t xml:space="preserve">Plan djelovanja civilne zaštite </w:t>
      </w:r>
    </w:p>
    <w:p w14:paraId="78E38C03" w14:textId="674C85F3" w:rsidR="007E1F82" w:rsidRDefault="00287A16" w:rsidP="007E1F8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DC5516">
        <w:rPr>
          <w:rFonts w:ascii="Arial" w:hAnsi="Arial" w:cs="Arial"/>
          <w:b/>
          <w:sz w:val="24"/>
          <w:szCs w:val="24"/>
        </w:rPr>
        <w:t>Općina Vinodolska općina</w:t>
      </w:r>
    </w:p>
    <w:p w14:paraId="389A62B6" w14:textId="785E896F" w:rsidR="001933CA" w:rsidRPr="007E1F82" w:rsidRDefault="001933CA" w:rsidP="007E1F8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7E1F82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06BCC21D" w14:textId="77777777" w:rsidR="001933CA" w:rsidRPr="005F5FA3" w:rsidRDefault="001933CA" w:rsidP="001933CA">
      <w:pPr>
        <w:pStyle w:val="Odlomakpopisa"/>
        <w:widowControl w:val="0"/>
        <w:tabs>
          <w:tab w:val="left" w:pos="622"/>
          <w:tab w:val="left" w:pos="1560"/>
        </w:tabs>
        <w:suppressAutoHyphens/>
        <w:autoSpaceDE w:val="0"/>
        <w:autoSpaceDN w:val="0"/>
        <w:spacing w:after="0" w:line="240" w:lineRule="auto"/>
        <w:ind w:left="2325"/>
        <w:contextualSpacing w:val="0"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</w:p>
    <w:p w14:paraId="53B8ACD5" w14:textId="47152FBA" w:rsidR="003453A8" w:rsidRPr="001933CA" w:rsidRDefault="003453A8" w:rsidP="007A3B4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                </w:t>
      </w:r>
      <w:r w:rsidR="00D166B6" w:rsidRPr="001933CA">
        <w:rPr>
          <w:rFonts w:ascii="Arial" w:hAnsi="Arial" w:cs="Arial"/>
          <w:sz w:val="24"/>
          <w:szCs w:val="24"/>
        </w:rPr>
        <w:t>Temeljem članka 17. stavka 1. Zakona o sustavu civilne zaštite („Narodne novine“ broj 82/15, 118/18, 31/20, 20/21, 114/22) predstavničko tijelo, na prijedlog izvršnog tijela jedinice lokalne i područne (regionalne) samouprave</w:t>
      </w:r>
      <w:r w:rsidR="001933CA">
        <w:rPr>
          <w:rFonts w:ascii="Arial" w:hAnsi="Arial" w:cs="Arial"/>
          <w:sz w:val="24"/>
          <w:szCs w:val="24"/>
        </w:rPr>
        <w:t>,</w:t>
      </w:r>
      <w:r w:rsidR="00D166B6" w:rsidRPr="001933CA">
        <w:rPr>
          <w:rFonts w:ascii="Arial" w:hAnsi="Arial" w:cs="Arial"/>
          <w:sz w:val="24"/>
          <w:szCs w:val="24"/>
        </w:rPr>
        <w:t xml:space="preserve"> donosi procjenu rizika od velikih nesreć</w:t>
      </w:r>
      <w:r w:rsidR="001933CA">
        <w:rPr>
          <w:rFonts w:ascii="Arial" w:hAnsi="Arial" w:cs="Arial"/>
          <w:sz w:val="24"/>
          <w:szCs w:val="24"/>
        </w:rPr>
        <w:t xml:space="preserve">a. </w:t>
      </w:r>
      <w:r w:rsidRPr="001933CA">
        <w:rPr>
          <w:rFonts w:ascii="Arial" w:hAnsi="Arial" w:cs="Arial"/>
          <w:sz w:val="24"/>
          <w:szCs w:val="24"/>
        </w:rPr>
        <w:t>Procjena se izrađuje u svrhu smanjenja rizika i posljedica velikih nesreća, odnosno prepoznavanja i učinkovitijeg upravljanja rizicima.</w:t>
      </w:r>
    </w:p>
    <w:p w14:paraId="329C103D" w14:textId="77777777" w:rsidR="001933CA" w:rsidRPr="001933CA" w:rsidRDefault="001933CA" w:rsidP="007A3B4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3A9969" w14:textId="336FEC0A" w:rsidR="00D166B6" w:rsidRDefault="00EA5DCE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Procjena rizika od velikih nesreća za </w:t>
      </w:r>
      <w:r w:rsidR="001933CA">
        <w:rPr>
          <w:rFonts w:ascii="Arial" w:hAnsi="Arial" w:cs="Arial"/>
          <w:sz w:val="24"/>
          <w:szCs w:val="24"/>
        </w:rPr>
        <w:t>Općinu Vinodolsku općinu</w:t>
      </w:r>
      <w:r w:rsidRPr="001933CA">
        <w:rPr>
          <w:rFonts w:ascii="Arial" w:hAnsi="Arial" w:cs="Arial"/>
          <w:sz w:val="24"/>
          <w:szCs w:val="24"/>
        </w:rPr>
        <w:t xml:space="preserve"> izrađena je 2019.</w:t>
      </w:r>
      <w:r w:rsidR="00F64594" w:rsidRPr="001933CA">
        <w:rPr>
          <w:rFonts w:ascii="Arial" w:hAnsi="Arial" w:cs="Arial"/>
          <w:sz w:val="24"/>
          <w:szCs w:val="24"/>
        </w:rPr>
        <w:t xml:space="preserve"> godine </w:t>
      </w:r>
      <w:r w:rsidRPr="001933CA">
        <w:rPr>
          <w:rFonts w:ascii="Arial" w:hAnsi="Arial" w:cs="Arial"/>
          <w:sz w:val="24"/>
          <w:szCs w:val="24"/>
        </w:rPr>
        <w:t xml:space="preserve">te </w:t>
      </w:r>
      <w:r w:rsidR="001933CA">
        <w:rPr>
          <w:rFonts w:ascii="Arial" w:hAnsi="Arial" w:cs="Arial"/>
          <w:sz w:val="24"/>
          <w:szCs w:val="24"/>
        </w:rPr>
        <w:t xml:space="preserve">je </w:t>
      </w:r>
      <w:r w:rsidRPr="001933CA">
        <w:rPr>
          <w:rFonts w:ascii="Arial" w:hAnsi="Arial" w:cs="Arial"/>
          <w:sz w:val="24"/>
          <w:szCs w:val="24"/>
        </w:rPr>
        <w:t>revizija iste</w:t>
      </w:r>
      <w:r w:rsidR="005F1CCA" w:rsidRPr="001933CA">
        <w:rPr>
          <w:rFonts w:ascii="Arial" w:hAnsi="Arial" w:cs="Arial"/>
          <w:sz w:val="24"/>
          <w:szCs w:val="24"/>
        </w:rPr>
        <w:t xml:space="preserve"> </w:t>
      </w:r>
      <w:r w:rsidR="005018AD">
        <w:rPr>
          <w:rFonts w:ascii="Arial" w:hAnsi="Arial" w:cs="Arial"/>
          <w:sz w:val="24"/>
          <w:szCs w:val="24"/>
        </w:rPr>
        <w:t xml:space="preserve">bila </w:t>
      </w:r>
      <w:r w:rsidRPr="001933CA">
        <w:rPr>
          <w:rFonts w:ascii="Arial" w:hAnsi="Arial" w:cs="Arial"/>
          <w:sz w:val="24"/>
          <w:szCs w:val="24"/>
        </w:rPr>
        <w:t>2021.</w:t>
      </w:r>
      <w:r w:rsidR="00F64594" w:rsidRPr="001933CA">
        <w:rPr>
          <w:rFonts w:ascii="Arial" w:hAnsi="Arial" w:cs="Arial"/>
          <w:sz w:val="24"/>
          <w:szCs w:val="24"/>
        </w:rPr>
        <w:t xml:space="preserve"> </w:t>
      </w:r>
      <w:r w:rsidR="005F1CCA" w:rsidRPr="001933CA">
        <w:rPr>
          <w:rFonts w:ascii="Arial" w:hAnsi="Arial" w:cs="Arial"/>
          <w:sz w:val="24"/>
          <w:szCs w:val="24"/>
        </w:rPr>
        <w:t>g</w:t>
      </w:r>
      <w:r w:rsidR="00F64594" w:rsidRPr="001933CA">
        <w:rPr>
          <w:rFonts w:ascii="Arial" w:hAnsi="Arial" w:cs="Arial"/>
          <w:sz w:val="24"/>
          <w:szCs w:val="24"/>
        </w:rPr>
        <w:t>odine</w:t>
      </w:r>
      <w:r w:rsidR="001933CA">
        <w:rPr>
          <w:rFonts w:ascii="Arial" w:hAnsi="Arial" w:cs="Arial"/>
          <w:sz w:val="24"/>
          <w:szCs w:val="24"/>
        </w:rPr>
        <w:t>.</w:t>
      </w:r>
    </w:p>
    <w:p w14:paraId="619F4C16" w14:textId="77777777" w:rsidR="001933CA" w:rsidRPr="001933CA" w:rsidRDefault="001933CA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54B5885" w14:textId="1E0B9BCB" w:rsidR="00EA5DCE" w:rsidRDefault="00EA5DCE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Kako je </w:t>
      </w:r>
      <w:r w:rsidR="00F64594" w:rsidRP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rocjena rizika od velikih nesreća osnova za izradu </w:t>
      </w:r>
      <w:r w:rsidR="00F64594" w:rsidRP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lana djelovanja civilne zaštite uz reviziju </w:t>
      </w:r>
      <w:r w:rsidR="00F64594" w:rsidRP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rocjene rizika od velikih nesreća za </w:t>
      </w:r>
      <w:r w:rsidR="001933CA">
        <w:rPr>
          <w:rFonts w:ascii="Arial" w:hAnsi="Arial" w:cs="Arial"/>
          <w:sz w:val="24"/>
          <w:szCs w:val="24"/>
        </w:rPr>
        <w:t>Općinu Vinodolsku općinu</w:t>
      </w:r>
      <w:r w:rsidRPr="001933CA">
        <w:rPr>
          <w:rFonts w:ascii="Arial" w:hAnsi="Arial" w:cs="Arial"/>
          <w:sz w:val="24"/>
          <w:szCs w:val="24"/>
        </w:rPr>
        <w:t xml:space="preserve"> izrađen je </w:t>
      </w:r>
      <w:r w:rsid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lan djelovanja civilne zaštite </w:t>
      </w:r>
      <w:r w:rsidR="001933CA">
        <w:rPr>
          <w:rFonts w:ascii="Arial" w:hAnsi="Arial" w:cs="Arial"/>
          <w:sz w:val="24"/>
          <w:szCs w:val="24"/>
        </w:rPr>
        <w:t>Općine Vinodolske općine</w:t>
      </w:r>
      <w:r w:rsidRPr="001933CA">
        <w:rPr>
          <w:rFonts w:ascii="Arial" w:hAnsi="Arial" w:cs="Arial"/>
          <w:sz w:val="24"/>
          <w:szCs w:val="24"/>
        </w:rPr>
        <w:t>.</w:t>
      </w:r>
    </w:p>
    <w:p w14:paraId="32465FF1" w14:textId="77777777" w:rsidR="001933CA" w:rsidRPr="001933CA" w:rsidRDefault="001933CA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35F8EFF3" w14:textId="77777777" w:rsidR="00CF7224" w:rsidRDefault="00EA5DCE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Plan djelovanja sustava civilne zaštite donosi se radi utvrđivanja organizacije, aktiviranja i djelovanja sustava civilne zaštite, zadaća i nadležnosti, ljudskih snaga i potrebnih materijalno-tehničkih sredstava te mjera i postupaka za provedbu zaštite i spašavanja u katastrofi i velikoj nesreći. </w:t>
      </w:r>
    </w:p>
    <w:p w14:paraId="0F7D19CC" w14:textId="77777777" w:rsidR="001933CA" w:rsidRPr="001933CA" w:rsidRDefault="001933CA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7031258" w14:textId="77777777" w:rsidR="001933CA" w:rsidRPr="00225DAD" w:rsidRDefault="001933CA" w:rsidP="001933CA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7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8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9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6BE3892A" w14:textId="4FDDCC91" w:rsidR="001933CA" w:rsidRDefault="001933CA" w:rsidP="004703D9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lastRenderedPageBreak/>
        <w:t xml:space="preserve">Na taj se način želi upoznati javnost sa predloženim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ac</w:t>
      </w:r>
      <w:r w:rsidR="004703D9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rtom</w:t>
      </w:r>
      <w:r w:rsidR="00296198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prijedloga </w:t>
      </w:r>
      <w:r w:rsidR="00296198" w:rsidRPr="00296198">
        <w:rPr>
          <w:rFonts w:ascii="Arial" w:hAnsi="Arial" w:cs="Arial"/>
          <w:bCs/>
          <w:sz w:val="24"/>
          <w:szCs w:val="24"/>
        </w:rPr>
        <w:t>Plan</w:t>
      </w:r>
      <w:r w:rsidR="00296198">
        <w:rPr>
          <w:rFonts w:ascii="Arial" w:hAnsi="Arial" w:cs="Arial"/>
          <w:bCs/>
          <w:sz w:val="24"/>
          <w:szCs w:val="24"/>
        </w:rPr>
        <w:t>a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djelovanja civilne zaštite </w:t>
      </w:r>
      <w:r w:rsidR="004703D9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i </w:t>
      </w:r>
      <w:r w:rsidR="004703D9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pribaviti primjedbe, prijedloge i</w:t>
      </w:r>
      <w:r w:rsidR="004703D9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="004703D9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mišljenja zainteresirane javnosti, kako bi predloženo, ukoliko je zakonito i stručno utemeljeno, bilo prihvaćeno od strane donositelja </w:t>
      </w:r>
      <w:r w:rsidR="004703D9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istog </w:t>
      </w:r>
      <w:r w:rsidR="004703D9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 u konačnosti ugrađeno u odredbe </w:t>
      </w:r>
      <w:r w:rsidR="004703D9" w:rsidRPr="00296198">
        <w:rPr>
          <w:rFonts w:ascii="Arial" w:hAnsi="Arial" w:cs="Arial"/>
          <w:bCs/>
          <w:sz w:val="24"/>
          <w:szCs w:val="24"/>
        </w:rPr>
        <w:t>Plan</w:t>
      </w:r>
      <w:r w:rsidR="004703D9">
        <w:rPr>
          <w:rFonts w:ascii="Arial" w:hAnsi="Arial" w:cs="Arial"/>
          <w:bCs/>
          <w:sz w:val="24"/>
          <w:szCs w:val="24"/>
        </w:rPr>
        <w:t>a</w:t>
      </w:r>
      <w:r w:rsidR="004703D9" w:rsidRPr="00296198">
        <w:rPr>
          <w:rFonts w:ascii="Arial" w:hAnsi="Arial" w:cs="Arial"/>
          <w:bCs/>
          <w:sz w:val="24"/>
          <w:szCs w:val="24"/>
        </w:rPr>
        <w:t xml:space="preserve"> djelovanja civilne zaštite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</w:t>
      </w:r>
    </w:p>
    <w:p w14:paraId="706159D9" w14:textId="3CF0F6C1" w:rsidR="001933CA" w:rsidRPr="001933CA" w:rsidRDefault="001933CA" w:rsidP="001933CA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od </w:t>
      </w:r>
      <w:r w:rsidR="00DC5516">
        <w:rPr>
          <w:rFonts w:ascii="Arial" w:hAnsi="Arial" w:cs="Arial"/>
          <w:b/>
          <w:bCs/>
          <w:sz w:val="24"/>
          <w:szCs w:val="24"/>
        </w:rPr>
        <w:t>15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DC5516">
        <w:rPr>
          <w:rFonts w:ascii="Arial" w:hAnsi="Arial" w:cs="Arial"/>
          <w:b/>
          <w:bCs/>
          <w:sz w:val="24"/>
          <w:szCs w:val="24"/>
        </w:rPr>
        <w:t>listopada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do </w:t>
      </w:r>
      <w:r w:rsidR="00DC5516">
        <w:rPr>
          <w:rFonts w:ascii="Arial" w:hAnsi="Arial" w:cs="Arial"/>
          <w:b/>
          <w:bCs/>
          <w:sz w:val="24"/>
          <w:szCs w:val="24"/>
        </w:rPr>
        <w:t>15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DC5516">
        <w:rPr>
          <w:rFonts w:ascii="Arial" w:hAnsi="Arial" w:cs="Arial"/>
          <w:b/>
          <w:bCs/>
          <w:sz w:val="24"/>
          <w:szCs w:val="24"/>
        </w:rPr>
        <w:t>studenog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2025. godine</w:t>
      </w:r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3C90B301" w14:textId="5154FBC6" w:rsidR="001933CA" w:rsidRPr="00D7526E" w:rsidRDefault="001933CA" w:rsidP="001933C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</w:t>
      </w:r>
      <w:r>
        <w:rPr>
          <w:rFonts w:ascii="Arial" w:hAnsi="Arial" w:cs="Arial"/>
          <w:sz w:val="24"/>
          <w:szCs w:val="24"/>
        </w:rPr>
        <w:t xml:space="preserve"> Nacrt</w:t>
      </w:r>
      <w:r w:rsidRPr="00225DAD">
        <w:rPr>
          <w:rFonts w:ascii="Arial" w:hAnsi="Arial" w:cs="Arial"/>
          <w:sz w:val="24"/>
          <w:szCs w:val="24"/>
        </w:rPr>
        <w:t xml:space="preserve"> prijedlog</w:t>
      </w:r>
      <w:r>
        <w:rPr>
          <w:rFonts w:ascii="Arial" w:hAnsi="Arial" w:cs="Arial"/>
          <w:sz w:val="24"/>
          <w:szCs w:val="24"/>
        </w:rPr>
        <w:t>a</w:t>
      </w:r>
      <w:r w:rsidRPr="00225DAD">
        <w:rPr>
          <w:rFonts w:ascii="Arial" w:hAnsi="Arial" w:cs="Arial"/>
          <w:sz w:val="24"/>
          <w:szCs w:val="24"/>
        </w:rPr>
        <w:t xml:space="preserve"> </w:t>
      </w:r>
      <w:r w:rsidR="00296198" w:rsidRPr="00296198">
        <w:rPr>
          <w:rFonts w:ascii="Arial" w:hAnsi="Arial" w:cs="Arial"/>
          <w:bCs/>
          <w:sz w:val="24"/>
          <w:szCs w:val="24"/>
        </w:rPr>
        <w:t>Plan</w:t>
      </w:r>
      <w:r w:rsidR="00296198">
        <w:rPr>
          <w:rFonts w:ascii="Arial" w:hAnsi="Arial" w:cs="Arial"/>
          <w:bCs/>
          <w:sz w:val="24"/>
          <w:szCs w:val="24"/>
        </w:rPr>
        <w:t>a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djelovanja civilne zaštite </w:t>
      </w:r>
      <w:r w:rsidR="00287A16">
        <w:rPr>
          <w:rFonts w:ascii="Arial" w:hAnsi="Arial" w:cs="Arial"/>
          <w:bCs/>
          <w:sz w:val="24"/>
          <w:szCs w:val="24"/>
        </w:rPr>
        <w:t xml:space="preserve">za </w:t>
      </w:r>
      <w:r w:rsidR="00296198" w:rsidRPr="00296198">
        <w:rPr>
          <w:rFonts w:ascii="Arial" w:hAnsi="Arial" w:cs="Arial"/>
          <w:bCs/>
          <w:sz w:val="24"/>
          <w:szCs w:val="24"/>
        </w:rPr>
        <w:t>Općin</w:t>
      </w:r>
      <w:r w:rsidR="00287A16">
        <w:rPr>
          <w:rFonts w:ascii="Arial" w:hAnsi="Arial" w:cs="Arial"/>
          <w:bCs/>
          <w:sz w:val="24"/>
          <w:szCs w:val="24"/>
        </w:rPr>
        <w:t>u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Vinodolsk</w:t>
      </w:r>
      <w:r w:rsidR="00287A16">
        <w:rPr>
          <w:rFonts w:ascii="Arial" w:hAnsi="Arial" w:cs="Arial"/>
          <w:bCs/>
          <w:sz w:val="24"/>
          <w:szCs w:val="24"/>
        </w:rPr>
        <w:t>u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</w:t>
      </w:r>
      <w:r w:rsidR="00287A16">
        <w:rPr>
          <w:rFonts w:ascii="Arial" w:hAnsi="Arial" w:cs="Arial"/>
          <w:bCs/>
          <w:sz w:val="24"/>
          <w:szCs w:val="24"/>
        </w:rPr>
        <w:t xml:space="preserve">općinu </w:t>
      </w:r>
      <w:r w:rsidRPr="00225DAD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0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162FF167" w14:textId="77777777" w:rsidR="001933CA" w:rsidRPr="00225DAD" w:rsidRDefault="001933CA" w:rsidP="001933CA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484CAD32" w14:textId="77777777" w:rsidR="001933CA" w:rsidRPr="00225DAD" w:rsidRDefault="001933CA" w:rsidP="001933CA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6ADAD49C" w14:textId="360FCE24" w:rsidR="001933CA" w:rsidRPr="00DC5516" w:rsidRDefault="001933CA" w:rsidP="00DC551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</w:t>
      </w:r>
      <w:r>
        <w:rPr>
          <w:rFonts w:ascii="Arial" w:hAnsi="Arial" w:cs="Arial"/>
          <w:sz w:val="24"/>
          <w:szCs w:val="24"/>
        </w:rPr>
        <w:t>P</w:t>
      </w:r>
      <w:r w:rsidRPr="00225DAD">
        <w:rPr>
          <w:rFonts w:ascii="Arial" w:hAnsi="Arial" w:cs="Arial"/>
          <w:sz w:val="24"/>
          <w:szCs w:val="24"/>
        </w:rPr>
        <w:t xml:space="preserve">rijedloga </w:t>
      </w:r>
      <w:r w:rsidR="00296198" w:rsidRPr="00296198">
        <w:rPr>
          <w:rFonts w:ascii="Arial" w:hAnsi="Arial" w:cs="Arial"/>
          <w:bCs/>
          <w:sz w:val="24"/>
          <w:szCs w:val="24"/>
        </w:rPr>
        <w:t>Plan</w:t>
      </w:r>
      <w:r w:rsidR="00296198">
        <w:rPr>
          <w:rFonts w:ascii="Arial" w:hAnsi="Arial" w:cs="Arial"/>
          <w:bCs/>
          <w:sz w:val="24"/>
          <w:szCs w:val="24"/>
        </w:rPr>
        <w:t>a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djelovanja civilne zaštite </w:t>
      </w:r>
      <w:r w:rsidR="00287A16">
        <w:rPr>
          <w:rFonts w:ascii="Arial" w:hAnsi="Arial" w:cs="Arial"/>
          <w:bCs/>
          <w:sz w:val="24"/>
          <w:szCs w:val="24"/>
        </w:rPr>
        <w:t xml:space="preserve">za </w:t>
      </w:r>
      <w:r w:rsidR="00296198" w:rsidRPr="00296198">
        <w:rPr>
          <w:rFonts w:ascii="Arial" w:hAnsi="Arial" w:cs="Arial"/>
          <w:bCs/>
          <w:sz w:val="24"/>
          <w:szCs w:val="24"/>
        </w:rPr>
        <w:t>Općin</w:t>
      </w:r>
      <w:r w:rsidR="00287A16">
        <w:rPr>
          <w:rFonts w:ascii="Arial" w:hAnsi="Arial" w:cs="Arial"/>
          <w:bCs/>
          <w:sz w:val="24"/>
          <w:szCs w:val="24"/>
        </w:rPr>
        <w:t>u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Vinodolsk</w:t>
      </w:r>
      <w:r w:rsidR="00287A16">
        <w:rPr>
          <w:rFonts w:ascii="Arial" w:hAnsi="Arial" w:cs="Arial"/>
          <w:bCs/>
          <w:sz w:val="24"/>
          <w:szCs w:val="24"/>
        </w:rPr>
        <w:t>u</w:t>
      </w:r>
      <w:r w:rsidR="00296198" w:rsidRPr="00296198">
        <w:rPr>
          <w:rFonts w:ascii="Arial" w:hAnsi="Arial" w:cs="Arial"/>
          <w:bCs/>
          <w:sz w:val="24"/>
          <w:szCs w:val="24"/>
        </w:rPr>
        <w:t xml:space="preserve"> </w:t>
      </w:r>
      <w:r w:rsidRPr="001933CA">
        <w:rPr>
          <w:rFonts w:ascii="Arial" w:hAnsi="Arial" w:cs="Arial"/>
          <w:bCs/>
          <w:sz w:val="24"/>
          <w:szCs w:val="24"/>
        </w:rPr>
        <w:t>općin</w:t>
      </w:r>
      <w:r w:rsidR="00287A16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681B4BC5" w14:textId="77777777" w:rsidR="001933CA" w:rsidRPr="00225DAD" w:rsidRDefault="001933CA" w:rsidP="001933C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A36C25E" w14:textId="7990770F" w:rsidR="001933CA" w:rsidRPr="00225DAD" w:rsidRDefault="001933CA" w:rsidP="001933CA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P</w:t>
      </w:r>
      <w:r>
        <w:rPr>
          <w:rFonts w:ascii="Arial" w:hAnsi="Arial" w:cs="Arial"/>
          <w:sz w:val="24"/>
          <w:szCs w:val="24"/>
        </w:rPr>
        <w:t>ROČELNIK</w:t>
      </w:r>
    </w:p>
    <w:p w14:paraId="21CB8F61" w14:textId="2279F252" w:rsidR="001933CA" w:rsidRPr="00225DAD" w:rsidRDefault="001933CA" w:rsidP="001933CA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DC5516">
        <w:rPr>
          <w:rFonts w:ascii="Arial" w:hAnsi="Arial" w:cs="Arial"/>
          <w:sz w:val="24"/>
          <w:szCs w:val="24"/>
        </w:rPr>
        <w:t xml:space="preserve">       </w:t>
      </w:r>
      <w:r w:rsidR="00D81D27">
        <w:rPr>
          <w:rFonts w:ascii="Arial" w:hAnsi="Arial" w:cs="Arial"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>Miljenko Šimić</w:t>
      </w:r>
      <w:r w:rsidR="00C47D1B">
        <w:rPr>
          <w:rFonts w:ascii="Arial" w:hAnsi="Arial" w:cs="Arial"/>
          <w:sz w:val="24"/>
          <w:szCs w:val="24"/>
        </w:rPr>
        <w:t>, v.r.</w:t>
      </w:r>
    </w:p>
    <w:p w14:paraId="19484033" w14:textId="77777777" w:rsidR="001933CA" w:rsidRPr="00FB7AA0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D3B4B4" w14:textId="77777777" w:rsidR="001933CA" w:rsidRPr="00FB7AA0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C81E80" w14:textId="77777777" w:rsidR="001933CA" w:rsidRPr="00FB7AA0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7470EC8" w14:textId="77777777" w:rsidR="001933CA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8E668E3" w14:textId="77777777" w:rsidR="006A001A" w:rsidRDefault="006A001A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2D680DB0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469B234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12069DE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38FB9337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36C08D52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E5BC10E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258FC69" w14:textId="77777777" w:rsidR="00296198" w:rsidRDefault="00296198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BFB864F" w14:textId="77777777" w:rsidR="004703D9" w:rsidRDefault="004703D9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25EAD489" w14:textId="77777777" w:rsidR="004703D9" w:rsidRDefault="004703D9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352B216C" w14:textId="77777777" w:rsidR="004703D9" w:rsidRDefault="004703D9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576B2369" w14:textId="77777777" w:rsidR="004703D9" w:rsidRDefault="004703D9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0B3DD602" w14:textId="77777777" w:rsidR="004703D9" w:rsidRDefault="004703D9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0C00159A" w14:textId="5E47BCC7" w:rsidR="005A4F1E" w:rsidRDefault="005A4F1E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DC5516">
        <w:rPr>
          <w:rFonts w:ascii="Arial" w:eastAsia="WenQuanYi Micro Hei" w:hAnsi="Arial" w:cs="Arial"/>
          <w:kern w:val="2"/>
          <w:lang w:eastAsia="zh-CN" w:bidi="hi-IN"/>
        </w:rPr>
        <w:t>U privitku</w:t>
      </w:r>
      <w:r w:rsidR="005F1CCA" w:rsidRPr="00DC5516">
        <w:rPr>
          <w:rFonts w:ascii="Arial" w:eastAsia="WenQuanYi Micro Hei" w:hAnsi="Arial" w:cs="Arial"/>
          <w:kern w:val="2"/>
          <w:lang w:eastAsia="zh-CN" w:bidi="hi-IN"/>
        </w:rPr>
        <w:t>:</w:t>
      </w:r>
    </w:p>
    <w:p w14:paraId="25146906" w14:textId="77777777" w:rsidR="004703D9" w:rsidRPr="00DC5516" w:rsidRDefault="004703D9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64167735" w14:textId="730AE97E" w:rsidR="00CF7224" w:rsidRDefault="00CF7224" w:rsidP="00CF722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="00DC5516">
        <w:rPr>
          <w:rFonts w:ascii="Arial" w:eastAsia="Times New Roman" w:hAnsi="Arial" w:cs="Arial"/>
          <w:bCs/>
          <w:kern w:val="2"/>
          <w:lang w:eastAsia="hr-HR" w:bidi="hi-IN"/>
        </w:rPr>
        <w:t>P</w:t>
      </w:r>
      <w:r w:rsidRPr="00DC5516">
        <w:rPr>
          <w:rFonts w:ascii="Arial" w:eastAsia="Times New Roman" w:hAnsi="Arial" w:cs="Arial"/>
          <w:bCs/>
          <w:kern w:val="2"/>
          <w:lang w:eastAsia="hr-HR" w:bidi="hi-IN"/>
        </w:rPr>
        <w:t>lan djelovanja civilne zaštite</w:t>
      </w: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 </w:t>
      </w:r>
      <w:r w:rsidR="00287A16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="00DC5516">
        <w:rPr>
          <w:rFonts w:ascii="Arial" w:eastAsia="WenQuanYi Micro Hei" w:hAnsi="Arial" w:cs="Arial"/>
          <w:kern w:val="2"/>
          <w:lang w:eastAsia="zh-CN" w:bidi="hi-IN"/>
        </w:rPr>
        <w:t>Općina Vinodolska općina</w:t>
      </w:r>
    </w:p>
    <w:p w14:paraId="6B96674E" w14:textId="67954FA7" w:rsidR="00295F32" w:rsidRDefault="00295F32" w:rsidP="00295F32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>
        <w:rPr>
          <w:rFonts w:ascii="Arial" w:eastAsia="Times New Roman" w:hAnsi="Arial" w:cs="Arial"/>
          <w:bCs/>
          <w:kern w:val="2"/>
          <w:lang w:eastAsia="hr-HR" w:bidi="hi-IN"/>
        </w:rPr>
        <w:t>P</w:t>
      </w:r>
      <w:r w:rsidRPr="00DC5516">
        <w:rPr>
          <w:rFonts w:ascii="Arial" w:eastAsia="Times New Roman" w:hAnsi="Arial" w:cs="Arial"/>
          <w:bCs/>
          <w:kern w:val="2"/>
          <w:lang w:eastAsia="hr-HR" w:bidi="hi-IN"/>
        </w:rPr>
        <w:t>lan djelovanja civilne zaštite</w:t>
      </w:r>
      <w:r>
        <w:rPr>
          <w:rFonts w:ascii="Arial" w:eastAsia="Times New Roman" w:hAnsi="Arial" w:cs="Arial"/>
          <w:bCs/>
          <w:kern w:val="2"/>
          <w:lang w:eastAsia="hr-HR" w:bidi="hi-IN"/>
        </w:rPr>
        <w:t xml:space="preserve"> PRILOZI</w:t>
      </w: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 </w:t>
      </w:r>
      <w:r w:rsidR="00287A16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>
        <w:rPr>
          <w:rFonts w:ascii="Arial" w:eastAsia="WenQuanYi Micro Hei" w:hAnsi="Arial" w:cs="Arial"/>
          <w:kern w:val="2"/>
          <w:lang w:eastAsia="zh-CN" w:bidi="hi-IN"/>
        </w:rPr>
        <w:t>Općina Vinodolska općina</w:t>
      </w:r>
    </w:p>
    <w:p w14:paraId="1C737975" w14:textId="77777777" w:rsidR="00C47D1B" w:rsidRDefault="00295F32" w:rsidP="00C47D1B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>
        <w:rPr>
          <w:rFonts w:ascii="Arial" w:eastAsia="Times New Roman" w:hAnsi="Arial" w:cs="Arial"/>
          <w:bCs/>
          <w:kern w:val="2"/>
          <w:lang w:eastAsia="hr-HR" w:bidi="hi-IN"/>
        </w:rPr>
        <w:t>P</w:t>
      </w:r>
      <w:r w:rsidRPr="00DC5516">
        <w:rPr>
          <w:rFonts w:ascii="Arial" w:eastAsia="Times New Roman" w:hAnsi="Arial" w:cs="Arial"/>
          <w:bCs/>
          <w:kern w:val="2"/>
          <w:lang w:eastAsia="hr-HR" w:bidi="hi-IN"/>
        </w:rPr>
        <w:t>lan djelovanja civilne zaštite</w:t>
      </w: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 </w:t>
      </w:r>
      <w:r>
        <w:rPr>
          <w:rFonts w:ascii="Arial" w:eastAsia="WenQuanYi Micro Hei" w:hAnsi="Arial" w:cs="Arial"/>
          <w:kern w:val="2"/>
          <w:lang w:eastAsia="zh-CN" w:bidi="hi-IN"/>
        </w:rPr>
        <w:t xml:space="preserve">KARTOGRAFSKI PRIKAZI </w:t>
      </w:r>
      <w:r w:rsidR="00287A16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>
        <w:rPr>
          <w:rFonts w:ascii="Arial" w:eastAsia="WenQuanYi Micro Hei" w:hAnsi="Arial" w:cs="Arial"/>
          <w:kern w:val="2"/>
          <w:lang w:eastAsia="zh-CN" w:bidi="hi-IN"/>
        </w:rPr>
        <w:t>Općina Vinodolska općina</w:t>
      </w:r>
    </w:p>
    <w:p w14:paraId="307BAEB8" w14:textId="6674CAC4" w:rsidR="00C47D1B" w:rsidRPr="00DC5516" w:rsidRDefault="00C47D1B" w:rsidP="00CF722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Pr="00A22107">
        <w:rPr>
          <w:rFonts w:ascii="Arial" w:hAnsi="Arial" w:cs="Arial"/>
        </w:rPr>
        <w:t>Obrazac</w:t>
      </w:r>
      <w:r>
        <w:rPr>
          <w:rFonts w:ascii="Arial" w:hAnsi="Arial" w:cs="Arial"/>
        </w:rPr>
        <w:t xml:space="preserve"> sudjelovanja u javnom savjetovanju</w:t>
      </w:r>
    </w:p>
    <w:sectPr w:rsidR="00C47D1B" w:rsidRPr="00DC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7135"/>
    <w:multiLevelType w:val="hybridMultilevel"/>
    <w:tmpl w:val="B9D6B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35C74"/>
    <w:multiLevelType w:val="hybridMultilevel"/>
    <w:tmpl w:val="1068C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5522"/>
    <w:multiLevelType w:val="multilevel"/>
    <w:tmpl w:val="84A2B1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5" w15:restartNumberingAfterBreak="0">
    <w:nsid w:val="3CAA04EE"/>
    <w:multiLevelType w:val="hybridMultilevel"/>
    <w:tmpl w:val="26307380"/>
    <w:lvl w:ilvl="0" w:tplc="16B0D58E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3E226FC9"/>
    <w:multiLevelType w:val="hybridMultilevel"/>
    <w:tmpl w:val="7C58CB2E"/>
    <w:lvl w:ilvl="0" w:tplc="A2B44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7344C"/>
    <w:multiLevelType w:val="hybridMultilevel"/>
    <w:tmpl w:val="2482D982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A195C"/>
    <w:multiLevelType w:val="hybridMultilevel"/>
    <w:tmpl w:val="5ED46B18"/>
    <w:lvl w:ilvl="0" w:tplc="DC0C6166"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  <w:b w:val="0"/>
        <w:bCs w:val="0"/>
        <w:i w:val="0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73C347B3"/>
    <w:multiLevelType w:val="hybridMultilevel"/>
    <w:tmpl w:val="F68AD2F0"/>
    <w:lvl w:ilvl="0" w:tplc="A9E09642">
      <w:numFmt w:val="bullet"/>
      <w:lvlText w:val="-"/>
      <w:lvlJc w:val="left"/>
      <w:pPr>
        <w:ind w:left="249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num w:numId="1" w16cid:durableId="405229460">
    <w:abstractNumId w:val="0"/>
  </w:num>
  <w:num w:numId="2" w16cid:durableId="155921109">
    <w:abstractNumId w:val="5"/>
  </w:num>
  <w:num w:numId="3" w16cid:durableId="263272035">
    <w:abstractNumId w:val="3"/>
  </w:num>
  <w:num w:numId="4" w16cid:durableId="1163013467">
    <w:abstractNumId w:val="2"/>
  </w:num>
  <w:num w:numId="5" w16cid:durableId="1242447959">
    <w:abstractNumId w:val="6"/>
  </w:num>
  <w:num w:numId="6" w16cid:durableId="1225946557">
    <w:abstractNumId w:val="7"/>
  </w:num>
  <w:num w:numId="7" w16cid:durableId="216358648">
    <w:abstractNumId w:val="4"/>
  </w:num>
  <w:num w:numId="8" w16cid:durableId="2022779299">
    <w:abstractNumId w:val="8"/>
  </w:num>
  <w:num w:numId="9" w16cid:durableId="468133398">
    <w:abstractNumId w:val="9"/>
  </w:num>
  <w:num w:numId="10" w16cid:durableId="174260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1"/>
    <w:rsid w:val="00015454"/>
    <w:rsid w:val="00026622"/>
    <w:rsid w:val="0004666B"/>
    <w:rsid w:val="0006081D"/>
    <w:rsid w:val="00090F75"/>
    <w:rsid w:val="000A4B43"/>
    <w:rsid w:val="000F686D"/>
    <w:rsid w:val="00104D4B"/>
    <w:rsid w:val="00104EF9"/>
    <w:rsid w:val="001243DF"/>
    <w:rsid w:val="001326F4"/>
    <w:rsid w:val="0016763F"/>
    <w:rsid w:val="001933CA"/>
    <w:rsid w:val="001A4384"/>
    <w:rsid w:val="001A4CAC"/>
    <w:rsid w:val="001B0959"/>
    <w:rsid w:val="001B1EE3"/>
    <w:rsid w:val="001D56FF"/>
    <w:rsid w:val="001E0652"/>
    <w:rsid w:val="00255615"/>
    <w:rsid w:val="00276858"/>
    <w:rsid w:val="00287A16"/>
    <w:rsid w:val="00290C38"/>
    <w:rsid w:val="00295F32"/>
    <w:rsid w:val="00296198"/>
    <w:rsid w:val="002A4C45"/>
    <w:rsid w:val="002C0F64"/>
    <w:rsid w:val="002D11A1"/>
    <w:rsid w:val="002D6AC5"/>
    <w:rsid w:val="00323CA1"/>
    <w:rsid w:val="00335BD9"/>
    <w:rsid w:val="003416BA"/>
    <w:rsid w:val="003453A8"/>
    <w:rsid w:val="00374561"/>
    <w:rsid w:val="00377B80"/>
    <w:rsid w:val="003C6657"/>
    <w:rsid w:val="00413444"/>
    <w:rsid w:val="00445D3B"/>
    <w:rsid w:val="00452AA6"/>
    <w:rsid w:val="004563ED"/>
    <w:rsid w:val="004703D9"/>
    <w:rsid w:val="004C01D1"/>
    <w:rsid w:val="004E595B"/>
    <w:rsid w:val="004F7446"/>
    <w:rsid w:val="005018AD"/>
    <w:rsid w:val="00524751"/>
    <w:rsid w:val="005638DA"/>
    <w:rsid w:val="00594E39"/>
    <w:rsid w:val="005A0EAE"/>
    <w:rsid w:val="005A4F1E"/>
    <w:rsid w:val="005F1CCA"/>
    <w:rsid w:val="00603C69"/>
    <w:rsid w:val="00614623"/>
    <w:rsid w:val="006426FE"/>
    <w:rsid w:val="00645325"/>
    <w:rsid w:val="00646F83"/>
    <w:rsid w:val="00662370"/>
    <w:rsid w:val="006941C9"/>
    <w:rsid w:val="006A001A"/>
    <w:rsid w:val="006A2343"/>
    <w:rsid w:val="006A7DF8"/>
    <w:rsid w:val="006B1A4D"/>
    <w:rsid w:val="006D7198"/>
    <w:rsid w:val="0075234D"/>
    <w:rsid w:val="007863A7"/>
    <w:rsid w:val="00796CC9"/>
    <w:rsid w:val="00797490"/>
    <w:rsid w:val="007A3B4A"/>
    <w:rsid w:val="007B70D1"/>
    <w:rsid w:val="007E1F82"/>
    <w:rsid w:val="00810EE4"/>
    <w:rsid w:val="008122CC"/>
    <w:rsid w:val="008461E5"/>
    <w:rsid w:val="00860893"/>
    <w:rsid w:val="008743A7"/>
    <w:rsid w:val="00875359"/>
    <w:rsid w:val="008B0E8C"/>
    <w:rsid w:val="008F0C56"/>
    <w:rsid w:val="008F4A4C"/>
    <w:rsid w:val="008F5AFA"/>
    <w:rsid w:val="009B017B"/>
    <w:rsid w:val="009C13F3"/>
    <w:rsid w:val="009D73F1"/>
    <w:rsid w:val="009E2E72"/>
    <w:rsid w:val="009F3EF5"/>
    <w:rsid w:val="00A14395"/>
    <w:rsid w:val="00A205F7"/>
    <w:rsid w:val="00A217FB"/>
    <w:rsid w:val="00A23826"/>
    <w:rsid w:val="00A33674"/>
    <w:rsid w:val="00A36E60"/>
    <w:rsid w:val="00A6129D"/>
    <w:rsid w:val="00AC2971"/>
    <w:rsid w:val="00AE1FAB"/>
    <w:rsid w:val="00B379FF"/>
    <w:rsid w:val="00B5446E"/>
    <w:rsid w:val="00B9768A"/>
    <w:rsid w:val="00BB0FF2"/>
    <w:rsid w:val="00C212B8"/>
    <w:rsid w:val="00C43600"/>
    <w:rsid w:val="00C47D1B"/>
    <w:rsid w:val="00C73106"/>
    <w:rsid w:val="00C80BD3"/>
    <w:rsid w:val="00C85B1E"/>
    <w:rsid w:val="00C92965"/>
    <w:rsid w:val="00C94631"/>
    <w:rsid w:val="00C96BD6"/>
    <w:rsid w:val="00CC00B8"/>
    <w:rsid w:val="00CC3EC3"/>
    <w:rsid w:val="00CE2047"/>
    <w:rsid w:val="00CE67DF"/>
    <w:rsid w:val="00CF04E2"/>
    <w:rsid w:val="00CF5936"/>
    <w:rsid w:val="00CF7224"/>
    <w:rsid w:val="00D03FB6"/>
    <w:rsid w:val="00D166B6"/>
    <w:rsid w:val="00D436E6"/>
    <w:rsid w:val="00D44643"/>
    <w:rsid w:val="00D660A1"/>
    <w:rsid w:val="00D81D27"/>
    <w:rsid w:val="00D9074D"/>
    <w:rsid w:val="00DA422D"/>
    <w:rsid w:val="00DB0A40"/>
    <w:rsid w:val="00DC5516"/>
    <w:rsid w:val="00DD1583"/>
    <w:rsid w:val="00DE1542"/>
    <w:rsid w:val="00DE3B0B"/>
    <w:rsid w:val="00DE7221"/>
    <w:rsid w:val="00DF2B15"/>
    <w:rsid w:val="00DF2E40"/>
    <w:rsid w:val="00E06F08"/>
    <w:rsid w:val="00E40F88"/>
    <w:rsid w:val="00E5346B"/>
    <w:rsid w:val="00E6350C"/>
    <w:rsid w:val="00EA0CB5"/>
    <w:rsid w:val="00EA5DCE"/>
    <w:rsid w:val="00EC4A6E"/>
    <w:rsid w:val="00EC52C7"/>
    <w:rsid w:val="00EE5CC4"/>
    <w:rsid w:val="00F0684C"/>
    <w:rsid w:val="00F228EB"/>
    <w:rsid w:val="00F53D7D"/>
    <w:rsid w:val="00F64594"/>
    <w:rsid w:val="00F7269D"/>
    <w:rsid w:val="00FB086F"/>
    <w:rsid w:val="00FB6299"/>
    <w:rsid w:val="00FC2D3F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6F6"/>
  <w15:docId w15:val="{7023B3B9-A5AC-441F-B1FD-FA5CD2B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E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122CC"/>
    <w:pPr>
      <w:spacing w:after="160" w:line="256" w:lineRule="auto"/>
      <w:jc w:val="both"/>
    </w:pPr>
    <w:rPr>
      <w:rFonts w:ascii="Century Gothic" w:hAnsi="Century Gothic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122CC"/>
    <w:rPr>
      <w:rFonts w:ascii="Century Gothic" w:hAnsi="Century Gothic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C96BD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cp:keywords/>
  <dc:description/>
  <cp:lastModifiedBy>Ana Tomašek</cp:lastModifiedBy>
  <cp:revision>18</cp:revision>
  <cp:lastPrinted>2025-10-14T11:24:00Z</cp:lastPrinted>
  <dcterms:created xsi:type="dcterms:W3CDTF">2025-10-14T11:06:00Z</dcterms:created>
  <dcterms:modified xsi:type="dcterms:W3CDTF">2025-10-15T10:57:00Z</dcterms:modified>
</cp:coreProperties>
</file>