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2321" w14:textId="77777777" w:rsidR="00276A38" w:rsidRPr="002179F5" w:rsidRDefault="00276A38" w:rsidP="00276A38">
      <w:pPr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575F132" wp14:editId="28B2DDD0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B7E7C" w14:textId="77777777" w:rsidR="00276A38" w:rsidRPr="002179F5" w:rsidRDefault="00276A38" w:rsidP="00276A38">
      <w:pPr>
        <w:ind w:firstLine="708"/>
        <w:rPr>
          <w:rFonts w:ascii="Arial" w:hAnsi="Arial" w:cs="Arial"/>
          <w:kern w:val="1"/>
          <w:sz w:val="24"/>
          <w:szCs w:val="24"/>
        </w:rPr>
      </w:pPr>
      <w:r w:rsidRPr="002179F5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2179F5">
        <w:rPr>
          <w:rFonts w:ascii="Arial" w:hAnsi="Arial" w:cs="Arial"/>
          <w:sz w:val="24"/>
          <w:szCs w:val="24"/>
        </w:rPr>
        <w:br/>
      </w:r>
      <w:r w:rsidRPr="002179F5">
        <w:rPr>
          <w:rFonts w:ascii="Arial" w:hAnsi="Arial" w:cs="Arial"/>
          <w:kern w:val="1"/>
          <w:sz w:val="24"/>
          <w:szCs w:val="24"/>
        </w:rPr>
        <w:t>PRIMORSKO-GORANSKA ŽUPANIJA</w:t>
      </w:r>
      <w:r w:rsidRPr="002179F5">
        <w:rPr>
          <w:rFonts w:ascii="Arial" w:hAnsi="Arial" w:cs="Arial"/>
          <w:sz w:val="24"/>
          <w:szCs w:val="24"/>
        </w:rPr>
        <w:br/>
      </w:r>
      <w:r w:rsidRPr="002179F5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0901830" w14:textId="77777777" w:rsidR="00276A38" w:rsidRPr="002179F5" w:rsidRDefault="00276A38" w:rsidP="00276A38">
      <w:pPr>
        <w:ind w:left="708"/>
        <w:rPr>
          <w:rFonts w:ascii="Arial" w:hAnsi="Arial" w:cs="Arial"/>
          <w:kern w:val="1"/>
          <w:sz w:val="24"/>
          <w:szCs w:val="24"/>
        </w:rPr>
      </w:pPr>
      <w:r w:rsidRPr="002179F5">
        <w:rPr>
          <w:rFonts w:ascii="Arial" w:hAnsi="Arial" w:cs="Arial"/>
          <w:kern w:val="1"/>
          <w:sz w:val="24"/>
          <w:szCs w:val="24"/>
        </w:rPr>
        <w:t xml:space="preserve"> Jedinstveni upravni odjel</w:t>
      </w:r>
    </w:p>
    <w:p w14:paraId="42FCCBAB" w14:textId="57327C8F" w:rsidR="00276A38" w:rsidRPr="002179F5" w:rsidRDefault="00276A38" w:rsidP="00276A38">
      <w:pPr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2179F5">
        <w:rPr>
          <w:rFonts w:ascii="Arial" w:hAnsi="Arial" w:cs="Arial"/>
          <w:sz w:val="24"/>
          <w:szCs w:val="24"/>
        </w:rPr>
        <w:br/>
      </w:r>
      <w:r w:rsidRPr="002179F5">
        <w:rPr>
          <w:rFonts w:ascii="Arial" w:hAnsi="Arial" w:cs="Arial"/>
          <w:color w:val="000000" w:themeColor="text1"/>
          <w:sz w:val="24"/>
          <w:szCs w:val="24"/>
        </w:rPr>
        <w:t>KLASA: 410</w:t>
      </w:r>
      <w:r w:rsidRPr="002179F5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-01/25-01/3</w:t>
      </w:r>
    </w:p>
    <w:p w14:paraId="771E3DFA" w14:textId="77777777" w:rsidR="00276A38" w:rsidRPr="002179F5" w:rsidRDefault="00276A38" w:rsidP="00276A38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2179F5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2179F5">
        <w:rPr>
          <w:rFonts w:ascii="Arial" w:hAnsi="Arial" w:cs="Arial"/>
          <w:color w:val="000000" w:themeColor="text1"/>
          <w:sz w:val="24"/>
          <w:szCs w:val="24"/>
        </w:rPr>
        <w:t xml:space="preserve"> 2170-34-01-24-1</w:t>
      </w:r>
    </w:p>
    <w:p w14:paraId="5E3C9E5F" w14:textId="77777777" w:rsidR="00276A38" w:rsidRPr="002179F5" w:rsidRDefault="00276A38" w:rsidP="00276A38">
      <w:pPr>
        <w:rPr>
          <w:rFonts w:ascii="Arial" w:hAnsi="Arial" w:cs="Arial"/>
          <w:sz w:val="24"/>
          <w:szCs w:val="24"/>
        </w:rPr>
      </w:pPr>
    </w:p>
    <w:p w14:paraId="56949AC5" w14:textId="77777777" w:rsidR="00276A38" w:rsidRPr="002179F5" w:rsidRDefault="00276A38" w:rsidP="00276A38">
      <w:pPr>
        <w:rPr>
          <w:rFonts w:ascii="Arial" w:hAnsi="Arial" w:cs="Arial"/>
          <w:kern w:val="1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Bribir, 13. siječnja 2025. </w:t>
      </w:r>
    </w:p>
    <w:p w14:paraId="5D0A9125" w14:textId="77777777" w:rsidR="00276A38" w:rsidRPr="002179F5" w:rsidRDefault="00276A38" w:rsidP="00276A38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96F2BAE" w14:textId="77777777" w:rsidR="00276A38" w:rsidRPr="002179F5" w:rsidRDefault="00276A38" w:rsidP="00276A38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>Jedinstveni upravni odjel Općine Vinodolske općine, na temelju odredbe članka 11. stavka 2. Zakona o pravu na pristup informacijama („Narodne novine" broj 25/13, 85/15 i 69/22), objavljuje</w:t>
      </w:r>
    </w:p>
    <w:p w14:paraId="38EB99FD" w14:textId="77777777" w:rsidR="00276A38" w:rsidRPr="002179F5" w:rsidRDefault="00276A38" w:rsidP="00276A38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417F486A" w14:textId="77777777" w:rsidR="00276A38" w:rsidRPr="002179F5" w:rsidRDefault="00276A38" w:rsidP="00276A38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2179F5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4B09EB9D" w14:textId="77777777" w:rsidR="00276A38" w:rsidRPr="002179F5" w:rsidRDefault="00276A38" w:rsidP="00276A38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eastAsia="Times New Roman" w:hAnsi="Arial" w:cs="Arial"/>
          <w:b/>
          <w:kern w:val="2"/>
          <w:lang w:bidi="hi-IN"/>
        </w:rPr>
      </w:pPr>
    </w:p>
    <w:p w14:paraId="430EF779" w14:textId="3BE813F0" w:rsidR="00F44FCD" w:rsidRPr="002179F5" w:rsidRDefault="00276A38" w:rsidP="00F44F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179F5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2179F5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F44FCD" w:rsidRPr="002179F5">
        <w:rPr>
          <w:rFonts w:ascii="Arial" w:hAnsi="Arial" w:cs="Arial"/>
          <w:b/>
          <w:bCs/>
          <w:sz w:val="24"/>
          <w:szCs w:val="24"/>
        </w:rPr>
        <w:t xml:space="preserve">Odluka </w:t>
      </w:r>
      <w:r w:rsidR="00F44FCD" w:rsidRPr="002179F5">
        <w:rPr>
          <w:rFonts w:ascii="Arial" w:hAnsi="Arial" w:cs="Arial"/>
          <w:b/>
          <w:sz w:val="24"/>
          <w:szCs w:val="24"/>
        </w:rPr>
        <w:t>o visini paušalnog poreza za djelatnosti iznajmljivanja i smještaja u turizmu na području Općine Vinodolske općine</w:t>
      </w:r>
    </w:p>
    <w:p w14:paraId="7243AB25" w14:textId="3038A929" w:rsidR="00276A38" w:rsidRPr="002179F5" w:rsidRDefault="00276A38" w:rsidP="00F44FCD">
      <w:pPr>
        <w:spacing w:after="60"/>
        <w:ind w:left="1410" w:hanging="702"/>
        <w:jc w:val="both"/>
        <w:rPr>
          <w:rFonts w:ascii="Arial" w:hAnsi="Arial" w:cs="Arial"/>
          <w:b/>
          <w:bCs/>
          <w:sz w:val="24"/>
          <w:szCs w:val="24"/>
        </w:rPr>
      </w:pPr>
    </w:p>
    <w:p w14:paraId="29099D02" w14:textId="77777777" w:rsidR="00276A38" w:rsidRPr="002179F5" w:rsidRDefault="00276A38" w:rsidP="00276A38">
      <w:pPr>
        <w:pStyle w:val="Odlomakpopisa"/>
        <w:widowControl w:val="0"/>
        <w:numPr>
          <w:ilvl w:val="0"/>
          <w:numId w:val="2"/>
        </w:numPr>
        <w:tabs>
          <w:tab w:val="left" w:pos="622"/>
          <w:tab w:val="left" w:pos="1560"/>
        </w:tabs>
        <w:suppressAutoHyphens/>
        <w:autoSpaceDE w:val="0"/>
        <w:autoSpaceDN w:val="0"/>
        <w:spacing w:after="0" w:line="240" w:lineRule="auto"/>
        <w:contextualSpacing w:val="0"/>
        <w:rPr>
          <w:rFonts w:ascii="Arial" w:hAnsi="Arial" w:cs="Arial"/>
          <w:bCs/>
          <w:i/>
          <w:iCs/>
          <w:lang w:eastAsia="hr-HR" w:bidi="hi-IN"/>
        </w:rPr>
      </w:pPr>
      <w:r w:rsidRPr="002179F5">
        <w:rPr>
          <w:rFonts w:ascii="Arial" w:hAnsi="Arial" w:cs="Arial"/>
          <w:bCs/>
          <w:i/>
          <w:iCs/>
          <w:lang w:eastAsia="hr-HR" w:bidi="hi-IN"/>
        </w:rPr>
        <w:t xml:space="preserve">Nacrt prijedloga za savjetovanje s javnošću </w:t>
      </w:r>
    </w:p>
    <w:p w14:paraId="4851E138" w14:textId="22C47D94" w:rsidR="00474C75" w:rsidRPr="002179F5" w:rsidRDefault="00474C75" w:rsidP="00F44FCD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3841C37D" w14:textId="72C1170E" w:rsidR="00874044" w:rsidRPr="002179F5" w:rsidRDefault="00A81FB9" w:rsidP="00512CAC">
      <w:pPr>
        <w:spacing w:after="160" w:line="278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79F5">
        <w:rPr>
          <w:rFonts w:ascii="Arial" w:hAnsi="Arial" w:cs="Arial"/>
          <w:sz w:val="24"/>
          <w:szCs w:val="24"/>
          <w:shd w:val="clear" w:color="auto" w:fill="FFFFFF"/>
        </w:rPr>
        <w:t xml:space="preserve">Općinsko vijeće Općine Vinodolske općine na svojoj </w:t>
      </w:r>
      <w:r w:rsidR="00874044" w:rsidRPr="002179F5">
        <w:rPr>
          <w:rFonts w:ascii="Arial" w:hAnsi="Arial" w:cs="Arial"/>
          <w:sz w:val="24"/>
          <w:szCs w:val="24"/>
          <w:shd w:val="clear" w:color="auto" w:fill="FFFFFF"/>
        </w:rPr>
        <w:t>16</w:t>
      </w:r>
      <w:r w:rsidRPr="002179F5">
        <w:rPr>
          <w:rFonts w:ascii="Arial" w:hAnsi="Arial" w:cs="Arial"/>
          <w:sz w:val="24"/>
          <w:szCs w:val="24"/>
          <w:shd w:val="clear" w:color="auto" w:fill="FFFFFF"/>
        </w:rPr>
        <w:t>. sjednici održanoj dana 2</w:t>
      </w:r>
      <w:r w:rsidR="00874044" w:rsidRPr="002179F5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2179F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74044" w:rsidRPr="002179F5">
        <w:rPr>
          <w:rFonts w:ascii="Arial" w:hAnsi="Arial" w:cs="Arial"/>
          <w:sz w:val="24"/>
          <w:szCs w:val="24"/>
          <w:shd w:val="clear" w:color="auto" w:fill="FFFFFF"/>
        </w:rPr>
        <w:t xml:space="preserve">siječnja </w:t>
      </w:r>
      <w:r w:rsidRPr="002179F5">
        <w:rPr>
          <w:rFonts w:ascii="Arial" w:hAnsi="Arial" w:cs="Arial"/>
          <w:sz w:val="24"/>
          <w:szCs w:val="24"/>
          <w:shd w:val="clear" w:color="auto" w:fill="FFFFFF"/>
        </w:rPr>
        <w:t>201</w:t>
      </w:r>
      <w:r w:rsidR="00874044" w:rsidRPr="002179F5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2179F5">
        <w:rPr>
          <w:rFonts w:ascii="Arial" w:hAnsi="Arial" w:cs="Arial"/>
          <w:sz w:val="24"/>
          <w:szCs w:val="24"/>
          <w:shd w:val="clear" w:color="auto" w:fill="FFFFFF"/>
        </w:rPr>
        <w:t xml:space="preserve">. godine donijelo je </w:t>
      </w:r>
      <w:r w:rsidR="00874044" w:rsidRPr="002179F5">
        <w:rPr>
          <w:rFonts w:ascii="Arial" w:hAnsi="Arial" w:cs="Arial"/>
          <w:sz w:val="24"/>
          <w:szCs w:val="24"/>
        </w:rPr>
        <w:t xml:space="preserve">Odluku o visini paušalnog poreza za djelatnosti iznajmljivanja i smještaja u turizmu na području Vinodolske općine </w:t>
      </w:r>
      <w:r w:rsidRPr="002179F5">
        <w:rPr>
          <w:rFonts w:ascii="Arial" w:hAnsi="Arial" w:cs="Arial"/>
          <w:sz w:val="24"/>
          <w:szCs w:val="24"/>
          <w:shd w:val="clear" w:color="auto" w:fill="FFFFFF"/>
        </w:rPr>
        <w:t>koja je još uvijek na snazi. Predmetnom Odlukom</w:t>
      </w:r>
      <w:r w:rsidR="00874044" w:rsidRPr="002179F5">
        <w:rPr>
          <w:rFonts w:ascii="Arial" w:hAnsi="Arial" w:cs="Arial"/>
          <w:sz w:val="24"/>
          <w:szCs w:val="24"/>
          <w:shd w:val="clear" w:color="auto" w:fill="FFFFFF"/>
        </w:rPr>
        <w:t xml:space="preserve"> određene su visine paušalnog poreza kako slijedi:</w:t>
      </w:r>
    </w:p>
    <w:p w14:paraId="7ED18D4D" w14:textId="04B9697B" w:rsidR="00874044" w:rsidRPr="002179F5" w:rsidRDefault="00874044" w:rsidP="00512CAC">
      <w:pPr>
        <w:pStyle w:val="Odlomakpopisa"/>
        <w:numPr>
          <w:ilvl w:val="0"/>
          <w:numId w:val="1"/>
        </w:numPr>
        <w:contextualSpacing w:val="0"/>
        <w:jc w:val="both"/>
        <w:rPr>
          <w:rFonts w:ascii="Arial" w:hAnsi="Arial" w:cs="Arial"/>
          <w:shd w:val="clear" w:color="auto" w:fill="FFFFFF"/>
        </w:rPr>
      </w:pPr>
      <w:r w:rsidRPr="002179F5">
        <w:rPr>
          <w:rFonts w:ascii="Arial" w:hAnsi="Arial" w:cs="Arial"/>
          <w:shd w:val="clear" w:color="auto" w:fill="FFFFFF"/>
        </w:rPr>
        <w:t>po krevetu: 38,49 eura (290,00 kuna)</w:t>
      </w:r>
      <w:r w:rsidR="00512CAC" w:rsidRPr="002179F5">
        <w:rPr>
          <w:rFonts w:ascii="Arial" w:hAnsi="Arial" w:cs="Arial"/>
          <w:shd w:val="clear" w:color="auto" w:fill="FFFFFF"/>
        </w:rPr>
        <w:t>,</w:t>
      </w:r>
    </w:p>
    <w:p w14:paraId="1F44DC50" w14:textId="581053F9" w:rsidR="00874044" w:rsidRPr="002179F5" w:rsidRDefault="00874044" w:rsidP="00512CAC">
      <w:pPr>
        <w:pStyle w:val="Odlomakpopisa"/>
        <w:numPr>
          <w:ilvl w:val="0"/>
          <w:numId w:val="1"/>
        </w:numPr>
        <w:contextualSpacing w:val="0"/>
        <w:jc w:val="both"/>
        <w:rPr>
          <w:rFonts w:ascii="Arial" w:hAnsi="Arial" w:cs="Arial"/>
          <w:shd w:val="clear" w:color="auto" w:fill="FFFFFF"/>
        </w:rPr>
      </w:pPr>
      <w:r w:rsidRPr="002179F5">
        <w:rPr>
          <w:rFonts w:ascii="Arial" w:hAnsi="Arial" w:cs="Arial"/>
          <w:shd w:val="clear" w:color="auto" w:fill="FFFFFF"/>
        </w:rPr>
        <w:t>po smještajnoj jedinici u kampu: 45,13 eura (340,00 kuna)</w:t>
      </w:r>
      <w:r w:rsidR="00512CAC" w:rsidRPr="002179F5">
        <w:rPr>
          <w:rFonts w:ascii="Arial" w:hAnsi="Arial" w:cs="Arial"/>
          <w:shd w:val="clear" w:color="auto" w:fill="FFFFFF"/>
        </w:rPr>
        <w:t>,</w:t>
      </w:r>
    </w:p>
    <w:p w14:paraId="105C06B0" w14:textId="05724B75" w:rsidR="00874044" w:rsidRPr="002179F5" w:rsidRDefault="00874044" w:rsidP="00512CAC">
      <w:pPr>
        <w:pStyle w:val="Odlomakpopisa"/>
        <w:numPr>
          <w:ilvl w:val="0"/>
          <w:numId w:val="1"/>
        </w:numPr>
        <w:contextualSpacing w:val="0"/>
        <w:jc w:val="both"/>
        <w:rPr>
          <w:rFonts w:ascii="Arial" w:hAnsi="Arial" w:cs="Arial"/>
          <w:shd w:val="clear" w:color="auto" w:fill="FFFFFF"/>
        </w:rPr>
      </w:pPr>
      <w:r w:rsidRPr="002179F5">
        <w:rPr>
          <w:rFonts w:ascii="Arial" w:hAnsi="Arial" w:cs="Arial"/>
          <w:shd w:val="clear" w:color="auto" w:fill="FFFFFF"/>
        </w:rPr>
        <w:t>po smještajnoj jedinici u objektu za robinzonski smještaj: 45,13 eura (340,00 kuna)</w:t>
      </w:r>
      <w:r w:rsidR="00512CAC" w:rsidRPr="002179F5">
        <w:rPr>
          <w:rFonts w:ascii="Arial" w:hAnsi="Arial" w:cs="Arial"/>
          <w:shd w:val="clear" w:color="auto" w:fill="FFFFFF"/>
        </w:rPr>
        <w:t>.</w:t>
      </w:r>
    </w:p>
    <w:p w14:paraId="4B19D32E" w14:textId="6C28D3AC" w:rsidR="00512CAC" w:rsidRPr="002179F5" w:rsidRDefault="00512CAC" w:rsidP="00512CAC">
      <w:pPr>
        <w:pStyle w:val="box478731"/>
        <w:shd w:val="clear" w:color="auto" w:fill="FFFFFF"/>
        <w:spacing w:before="0" w:beforeAutospacing="0" w:after="160" w:afterAutospacing="0" w:line="278" w:lineRule="auto"/>
        <w:jc w:val="both"/>
        <w:textAlignment w:val="baseline"/>
        <w:rPr>
          <w:rFonts w:ascii="Arial" w:hAnsi="Arial" w:cs="Arial"/>
        </w:rPr>
      </w:pPr>
      <w:r w:rsidRPr="002179F5">
        <w:rPr>
          <w:rFonts w:ascii="Arial" w:hAnsi="Arial" w:cs="Arial"/>
        </w:rPr>
        <w:t xml:space="preserve">Posljednjim izmjenama </w:t>
      </w:r>
      <w:r w:rsidR="005F01A0" w:rsidRPr="002179F5">
        <w:rPr>
          <w:rFonts w:ascii="Arial" w:hAnsi="Arial" w:cs="Arial"/>
        </w:rPr>
        <w:t xml:space="preserve">Zakona o porezu na dohodak </w:t>
      </w:r>
      <w:r w:rsidR="005F01A0" w:rsidRPr="002179F5">
        <w:rPr>
          <w:rFonts w:ascii="Arial" w:hAnsi="Arial" w:cs="Arial"/>
          <w:lang w:eastAsia="hr-HR"/>
        </w:rPr>
        <w:t>(„Narodne novine“ broj 115/16, 106/18, 121/19, 32/20, 138/20, 151/22 i 114/23</w:t>
      </w:r>
      <w:r w:rsidR="005F01A0" w:rsidRPr="002179F5">
        <w:rPr>
          <w:rFonts w:ascii="Arial" w:hAnsi="Arial" w:cs="Arial"/>
        </w:rPr>
        <w:t>, 152/24)</w:t>
      </w:r>
      <w:r w:rsidRPr="002179F5">
        <w:rPr>
          <w:rFonts w:ascii="Arial" w:hAnsi="Arial" w:cs="Arial"/>
        </w:rPr>
        <w:t xml:space="preserve"> članak 57. Zakona dopunjen je</w:t>
      </w:r>
      <w:r w:rsidR="005F01A0" w:rsidRPr="002179F5">
        <w:rPr>
          <w:rFonts w:ascii="Arial" w:hAnsi="Arial" w:cs="Arial"/>
        </w:rPr>
        <w:t xml:space="preserve"> novim stavkom 4. koji propisuje da je predstavničko tijelo jedinice lokalne samouprave obvezno donijeti odluku kojom će propisati visine paušalnog poreza po krevetu odnosno po smještajnoj jedinici u kampu odnosno po smještajnoj jedinici u objektu za robinzonski smještaj. 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 i to:</w:t>
      </w:r>
    </w:p>
    <w:p w14:paraId="32317BD4" w14:textId="77777777" w:rsidR="006A3839" w:rsidRPr="002179F5" w:rsidRDefault="006A3839" w:rsidP="00512CAC">
      <w:pPr>
        <w:pStyle w:val="box478731"/>
        <w:shd w:val="clear" w:color="auto" w:fill="FFFFFF"/>
        <w:spacing w:before="0" w:beforeAutospacing="0" w:after="160" w:afterAutospacing="0" w:line="278" w:lineRule="auto"/>
        <w:jc w:val="both"/>
        <w:textAlignment w:val="baseline"/>
        <w:rPr>
          <w:rFonts w:ascii="Arial" w:hAnsi="Arial" w:cs="Arial"/>
        </w:rPr>
      </w:pPr>
    </w:p>
    <w:tbl>
      <w:tblPr>
        <w:tblW w:w="90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65"/>
      </w:tblGrid>
      <w:tr w:rsidR="005F01A0" w:rsidRPr="002179F5" w14:paraId="43FCE427" w14:textId="77777777" w:rsidTr="00877E0C">
        <w:trPr>
          <w:trHeight w:val="52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3D654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lastRenderedPageBreak/>
              <w:t>Kategorija jedinice lokalne samouprave prema indeksu turističke razvijenosti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20D17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Iznos paušalnog poreza u eurima i centima</w:t>
            </w:r>
          </w:p>
        </w:tc>
      </w:tr>
      <w:tr w:rsidR="005F01A0" w:rsidRPr="002179F5" w14:paraId="47ED3C28" w14:textId="77777777" w:rsidTr="00877E0C">
        <w:trPr>
          <w:trHeight w:val="26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979DE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52159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100,00 − 300,00</w:t>
            </w:r>
          </w:p>
        </w:tc>
      </w:tr>
      <w:tr w:rsidR="005F01A0" w:rsidRPr="002179F5" w14:paraId="67FC2616" w14:textId="77777777" w:rsidTr="00877E0C">
        <w:trPr>
          <w:trHeight w:val="24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9A8CA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II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D3A8E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70,00 − 200,00</w:t>
            </w:r>
          </w:p>
        </w:tc>
      </w:tr>
      <w:tr w:rsidR="005F01A0" w:rsidRPr="002179F5" w14:paraId="1A0EA0A4" w14:textId="77777777" w:rsidTr="00877E0C">
        <w:trPr>
          <w:trHeight w:val="26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E054A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III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DC5EA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30,00 − 150,00</w:t>
            </w:r>
          </w:p>
        </w:tc>
      </w:tr>
      <w:tr w:rsidR="005F01A0" w:rsidRPr="002179F5" w14:paraId="18FCD62E" w14:textId="77777777" w:rsidTr="00877E0C">
        <w:trPr>
          <w:trHeight w:val="26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56628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IV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CD750" w14:textId="77777777" w:rsidR="005F01A0" w:rsidRPr="002179F5" w:rsidRDefault="005F01A0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20,00 − 100,00</w:t>
            </w:r>
          </w:p>
        </w:tc>
      </w:tr>
    </w:tbl>
    <w:p w14:paraId="3E59D120" w14:textId="77777777" w:rsidR="006A3839" w:rsidRPr="002179F5" w:rsidRDefault="006A3839" w:rsidP="00512CAC">
      <w:pPr>
        <w:pStyle w:val="Tijeloteksta"/>
        <w:tabs>
          <w:tab w:val="left" w:pos="709"/>
        </w:tabs>
        <w:kinsoku w:val="0"/>
        <w:overflowPunct w:val="0"/>
        <w:spacing w:after="160" w:line="278" w:lineRule="auto"/>
        <w:ind w:left="0" w:right="52"/>
        <w:jc w:val="both"/>
        <w:rPr>
          <w:lang w:val="sk-SK"/>
        </w:rPr>
      </w:pPr>
    </w:p>
    <w:p w14:paraId="0E0750FC" w14:textId="622B9E03" w:rsidR="00512CAC" w:rsidRPr="002179F5" w:rsidRDefault="00512CAC" w:rsidP="00512CAC">
      <w:pPr>
        <w:pStyle w:val="Tijeloteksta"/>
        <w:tabs>
          <w:tab w:val="left" w:pos="709"/>
        </w:tabs>
        <w:kinsoku w:val="0"/>
        <w:overflowPunct w:val="0"/>
        <w:spacing w:after="160" w:line="278" w:lineRule="auto"/>
        <w:ind w:left="0" w:right="52"/>
        <w:jc w:val="both"/>
        <w:rPr>
          <w:lang w:val="sk-SK"/>
        </w:rPr>
      </w:pPr>
      <w:r w:rsidRPr="002179F5">
        <w:rPr>
          <w:lang w:val="sk-SK"/>
        </w:rPr>
        <w:t xml:space="preserve">Novim propisom za Općinu Vinodolsku općinu, koja spada u III. kategoriju prema indeksu turističke razvijenosti, propisan je raspon od 30-150 eura. </w:t>
      </w:r>
      <w:r w:rsidRPr="002179F5">
        <w:rPr>
          <w:lang w:val="sk-SK"/>
        </w:rPr>
        <w:tab/>
      </w:r>
    </w:p>
    <w:p w14:paraId="3E4F0741" w14:textId="7D447659" w:rsidR="00512CAC" w:rsidRPr="002179F5" w:rsidRDefault="00512CAC" w:rsidP="00512CAC">
      <w:pPr>
        <w:shd w:val="clear" w:color="auto" w:fill="FFFFFF"/>
        <w:spacing w:after="160" w:line="278" w:lineRule="auto"/>
        <w:jc w:val="both"/>
        <w:textAlignment w:val="baseline"/>
        <w:rPr>
          <w:rFonts w:ascii="Arial" w:hAnsi="Arial" w:cs="Arial"/>
          <w:sz w:val="24"/>
          <w:szCs w:val="24"/>
          <w:lang w:val="sk-SK" w:eastAsia="sk-SK"/>
        </w:rPr>
      </w:pPr>
      <w:r w:rsidRPr="002179F5">
        <w:rPr>
          <w:rFonts w:ascii="Arial" w:hAnsi="Arial" w:cs="Arial"/>
          <w:sz w:val="24"/>
          <w:szCs w:val="24"/>
          <w:lang w:val="sk-SK" w:eastAsia="sk-SK"/>
        </w:rPr>
        <w:t>Poredstavnička tijela jedinica loklane samouprave dužna su novu odluku o visini paušalnog poreza</w:t>
      </w:r>
      <w:r w:rsidRPr="002179F5">
        <w:rPr>
          <w:rFonts w:ascii="Arial" w:hAnsi="Arial" w:cs="Arial"/>
          <w:sz w:val="24"/>
          <w:szCs w:val="24"/>
        </w:rPr>
        <w:t xml:space="preserve"> po krevetu odnosno po smještajnoj jedinici u kampu odnosno po smještajnoj jedinici za robinzonski smještaj donijeti te dostaviti Poreznoj upravi najkasnije do 28. veljače 2025. godine.</w:t>
      </w:r>
    </w:p>
    <w:p w14:paraId="7503EBF6" w14:textId="04ECDB8A" w:rsidR="006A3839" w:rsidRPr="002179F5" w:rsidRDefault="00512CAC" w:rsidP="006A3839">
      <w:pPr>
        <w:shd w:val="clear" w:color="auto" w:fill="FFFFFF"/>
        <w:spacing w:after="160" w:line="278" w:lineRule="auto"/>
        <w:jc w:val="both"/>
        <w:textAlignment w:val="baseline"/>
        <w:rPr>
          <w:rFonts w:ascii="Arial" w:hAnsi="Arial" w:cs="Arial"/>
          <w:sz w:val="24"/>
          <w:szCs w:val="24"/>
          <w:lang w:val="sk-SK" w:eastAsia="sk-SK"/>
        </w:rPr>
      </w:pPr>
      <w:r w:rsidRPr="002179F5">
        <w:rPr>
          <w:rFonts w:ascii="Arial" w:hAnsi="Arial" w:cs="Arial"/>
          <w:sz w:val="24"/>
          <w:szCs w:val="24"/>
          <w:lang w:val="sk-SK" w:eastAsia="sk-SK"/>
        </w:rPr>
        <w:t xml:space="preserve">Člankom 8. stavkom 7. </w:t>
      </w:r>
      <w:r w:rsidRPr="002179F5">
        <w:rPr>
          <w:rFonts w:ascii="Arial" w:hAnsi="Arial" w:cs="Arial"/>
          <w:sz w:val="24"/>
          <w:szCs w:val="24"/>
        </w:rPr>
        <w:t>posljednjih izmjena Zakona propisano je da će se, u slučaju da</w:t>
      </w:r>
      <w:r w:rsidRPr="002179F5">
        <w:rPr>
          <w:rFonts w:ascii="Arial" w:hAnsi="Arial" w:cs="Arial"/>
          <w:sz w:val="24"/>
          <w:szCs w:val="24"/>
          <w:lang w:val="sk-SK" w:eastAsia="sk-SK"/>
        </w:rPr>
        <w:t xml:space="preserve"> predstavničko tijelo jedinice lokalne samouprave </w:t>
      </w:r>
      <w:r w:rsidR="003E7E38" w:rsidRPr="002179F5">
        <w:rPr>
          <w:rFonts w:ascii="Arial" w:hAnsi="Arial" w:cs="Arial"/>
          <w:sz w:val="24"/>
          <w:szCs w:val="24"/>
          <w:lang w:val="sk-SK" w:eastAsia="sk-SK"/>
        </w:rPr>
        <w:t xml:space="preserve">u propisanom roku </w:t>
      </w:r>
      <w:r w:rsidRPr="002179F5">
        <w:rPr>
          <w:rFonts w:ascii="Arial" w:hAnsi="Arial" w:cs="Arial"/>
          <w:sz w:val="24"/>
          <w:szCs w:val="24"/>
          <w:lang w:val="sk-SK" w:eastAsia="sk-SK"/>
        </w:rPr>
        <w:t>ne donese odluku kojom će propisati visinu paušalnog poreza, visina paušalnog poreza po krevetu odnosno po smještajnoj jedinici u kampu odnosno po smještanoj jedinici u objektu za robinzonski smještaj odrediti na sljedeći način: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36"/>
      </w:tblGrid>
      <w:tr w:rsidR="00512CAC" w:rsidRPr="002179F5" w14:paraId="566D9A39" w14:textId="77777777" w:rsidTr="00877E0C">
        <w:trPr>
          <w:trHeight w:val="526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02EDC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Kategorija jedinice lokalne samouprave prema indeksu turističke razvijenosti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29792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Iznos paušalnog poreza u eurima i centima</w:t>
            </w:r>
          </w:p>
        </w:tc>
      </w:tr>
      <w:tr w:rsidR="00512CAC" w:rsidRPr="002179F5" w14:paraId="77261CC1" w14:textId="77777777" w:rsidTr="00877E0C">
        <w:trPr>
          <w:trHeight w:val="26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262E9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95531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200,00</w:t>
            </w:r>
          </w:p>
        </w:tc>
      </w:tr>
      <w:tr w:rsidR="00512CAC" w:rsidRPr="002179F5" w14:paraId="32E8E40C" w14:textId="77777777" w:rsidTr="00877E0C">
        <w:trPr>
          <w:trHeight w:val="25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9FDCB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II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A1AF4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135,00</w:t>
            </w:r>
          </w:p>
        </w:tc>
      </w:tr>
      <w:tr w:rsidR="00512CAC" w:rsidRPr="002179F5" w14:paraId="0B76467C" w14:textId="77777777" w:rsidTr="00877E0C">
        <w:trPr>
          <w:trHeight w:val="26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17F4C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III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D3F68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90,00</w:t>
            </w:r>
          </w:p>
        </w:tc>
      </w:tr>
      <w:tr w:rsidR="00512CAC" w:rsidRPr="002179F5" w14:paraId="76CB4FDB" w14:textId="77777777" w:rsidTr="00877E0C">
        <w:trPr>
          <w:trHeight w:val="26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AC462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CCC6E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60,00</w:t>
            </w:r>
          </w:p>
        </w:tc>
      </w:tr>
    </w:tbl>
    <w:p w14:paraId="70C371BA" w14:textId="77777777" w:rsidR="00512CAC" w:rsidRPr="002179F5" w:rsidRDefault="00512CAC" w:rsidP="00512CAC">
      <w:pPr>
        <w:pStyle w:val="Tijeloteksta"/>
        <w:tabs>
          <w:tab w:val="left" w:pos="709"/>
        </w:tabs>
        <w:kinsoku w:val="0"/>
        <w:overflowPunct w:val="0"/>
        <w:ind w:left="0" w:right="52"/>
        <w:jc w:val="both"/>
        <w:rPr>
          <w:b/>
          <w:bCs/>
        </w:rPr>
      </w:pPr>
    </w:p>
    <w:p w14:paraId="7698083B" w14:textId="759E0899" w:rsidR="005F01A0" w:rsidRPr="002179F5" w:rsidRDefault="00512CAC" w:rsidP="00512CAC">
      <w:pPr>
        <w:pStyle w:val="Tijeloteksta"/>
        <w:tabs>
          <w:tab w:val="left" w:pos="709"/>
        </w:tabs>
        <w:kinsoku w:val="0"/>
        <w:overflowPunct w:val="0"/>
        <w:spacing w:after="160" w:line="278" w:lineRule="auto"/>
        <w:ind w:left="0" w:right="52"/>
        <w:jc w:val="both"/>
      </w:pPr>
      <w:r w:rsidRPr="002179F5">
        <w:t xml:space="preserve">Za Općinu Vinodolsku općinu to znači da će, ukoliko Općinsko vijeće Općine Vinodolske općine </w:t>
      </w:r>
      <w:r w:rsidRPr="002179F5">
        <w:rPr>
          <w:lang w:val="sk-SK" w:eastAsia="sk-SK"/>
        </w:rPr>
        <w:t xml:space="preserve">ne donese novu odluku u propisanom roku, visina paušalnog poreza po krevetu odnosno po smještajnoj jedinici u kampu odnosno po smještanoj jedinici u objektu za robinzonski smještaj iznositi </w:t>
      </w:r>
      <w:r w:rsidRPr="002179F5">
        <w:rPr>
          <w:b/>
          <w:bCs/>
          <w:lang w:val="sk-SK" w:eastAsia="sk-SK"/>
        </w:rPr>
        <w:t>90,00 eura</w:t>
      </w:r>
      <w:r w:rsidRPr="002179F5">
        <w:rPr>
          <w:lang w:val="sk-SK" w:eastAsia="sk-SK"/>
        </w:rPr>
        <w:t>.</w:t>
      </w:r>
    </w:p>
    <w:p w14:paraId="1CAB1F5C" w14:textId="0DAEF2EF" w:rsidR="00512CAC" w:rsidRPr="002179F5" w:rsidRDefault="00512CAC" w:rsidP="002179F5">
      <w:p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  <w:lang w:val="sk-SK"/>
        </w:rPr>
        <w:t xml:space="preserve">U svrhu izbjegavanja zakonskog određivanja paušalnog poreza u visini od 90,00 eura te u nastojanju </w:t>
      </w:r>
      <w:r w:rsidRPr="002179F5">
        <w:rPr>
          <w:rFonts w:ascii="Arial" w:hAnsi="Arial" w:cs="Arial"/>
          <w:sz w:val="24"/>
          <w:szCs w:val="24"/>
        </w:rPr>
        <w:t>da se održe postojeći resursi, smještajni objekti i dodatni sadržaji, ali i potaknu nova ulaganja u razvoj turizma na području Općine Vinodolske općine, ovim Nacrtom prijedloga</w:t>
      </w:r>
      <w:r w:rsidRPr="002179F5">
        <w:rPr>
          <w:rFonts w:ascii="Arial" w:hAnsi="Arial" w:cs="Arial"/>
          <w:sz w:val="24"/>
          <w:szCs w:val="24"/>
          <w:lang w:val="sk-SK"/>
        </w:rPr>
        <w:t xml:space="preserve"> </w:t>
      </w:r>
      <w:r w:rsidRPr="002179F5">
        <w:rPr>
          <w:rFonts w:ascii="Arial" w:hAnsi="Arial" w:cs="Arial"/>
          <w:sz w:val="24"/>
          <w:szCs w:val="24"/>
        </w:rPr>
        <w:t>Odluke o visini paušalnog poreza za djelatnosti iznajmljivanja i smještaja u turizmu na području Općine Vinodolske općine predlaže se povećanje visine paušalnog poreza kako je prikazano u sljedećoj tablici:</w:t>
      </w:r>
    </w:p>
    <w:tbl>
      <w:tblPr>
        <w:tblStyle w:val="Reetkatablice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025"/>
        <w:gridCol w:w="2328"/>
        <w:gridCol w:w="2332"/>
        <w:gridCol w:w="2350"/>
      </w:tblGrid>
      <w:tr w:rsidR="00512CAC" w:rsidRPr="002179F5" w14:paraId="6687D8F8" w14:textId="77777777" w:rsidTr="00711C94">
        <w:trPr>
          <w:trHeight w:val="1646"/>
        </w:trPr>
        <w:tc>
          <w:tcPr>
            <w:tcW w:w="2025" w:type="dxa"/>
            <w:vAlign w:val="center"/>
          </w:tcPr>
          <w:p w14:paraId="6BDEC30B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lastRenderedPageBreak/>
              <w:t>Vrsta paušalnog poreza</w:t>
            </w:r>
          </w:p>
        </w:tc>
        <w:tc>
          <w:tcPr>
            <w:tcW w:w="2328" w:type="dxa"/>
            <w:vAlign w:val="center"/>
          </w:tcPr>
          <w:p w14:paraId="5BED66CB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Visina paušalnog poreza sukladno trenutno važećoj Odluci</w:t>
            </w:r>
          </w:p>
        </w:tc>
        <w:tc>
          <w:tcPr>
            <w:tcW w:w="2332" w:type="dxa"/>
            <w:vAlign w:val="center"/>
          </w:tcPr>
          <w:p w14:paraId="3D8D65DE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Visine paušalnog poreza sukladno Nacrtu prijedloga nove Odluke</w:t>
            </w:r>
          </w:p>
        </w:tc>
        <w:tc>
          <w:tcPr>
            <w:tcW w:w="2350" w:type="dxa"/>
            <w:vAlign w:val="center"/>
          </w:tcPr>
          <w:p w14:paraId="7489D39B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  <w:lang w:val="sk-SK" w:eastAsia="sk-SK"/>
              </w:rPr>
              <w:t>Razlika u visinama paušalnog poreza trenutno važeće Odluke i Nacrta prijedloga nove Odluke</w:t>
            </w:r>
          </w:p>
        </w:tc>
      </w:tr>
      <w:tr w:rsidR="00512CAC" w:rsidRPr="002179F5" w14:paraId="1C8FEF15" w14:textId="77777777" w:rsidTr="00711C94">
        <w:trPr>
          <w:trHeight w:val="676"/>
        </w:trPr>
        <w:tc>
          <w:tcPr>
            <w:tcW w:w="2025" w:type="dxa"/>
            <w:vAlign w:val="center"/>
          </w:tcPr>
          <w:p w14:paraId="049B7F15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Po krevetu</w:t>
            </w:r>
          </w:p>
        </w:tc>
        <w:tc>
          <w:tcPr>
            <w:tcW w:w="2328" w:type="dxa"/>
            <w:vAlign w:val="center"/>
          </w:tcPr>
          <w:p w14:paraId="5C670C10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 xml:space="preserve">38,49 eura </w:t>
            </w:r>
          </w:p>
          <w:p w14:paraId="7846ADEE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(290,00 kuna)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B87C9" w14:textId="7FBC9829" w:rsidR="00512CAC" w:rsidRPr="002179F5" w:rsidRDefault="00432731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k-SK" w:eastAsia="sk-SK"/>
              </w:rPr>
              <w:t>40</w:t>
            </w:r>
            <w:r w:rsidR="00512CAC"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,00 eura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4FB77" w14:textId="012657EE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1,51 eura</w:t>
            </w:r>
          </w:p>
        </w:tc>
      </w:tr>
      <w:tr w:rsidR="00512CAC" w:rsidRPr="002179F5" w14:paraId="350EBB11" w14:textId="77777777" w:rsidTr="00711C94">
        <w:trPr>
          <w:trHeight w:val="661"/>
        </w:trPr>
        <w:tc>
          <w:tcPr>
            <w:tcW w:w="2025" w:type="dxa"/>
            <w:vAlign w:val="center"/>
          </w:tcPr>
          <w:p w14:paraId="58D3ACDA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Po smještajnoj jedinici u kampu</w:t>
            </w:r>
          </w:p>
        </w:tc>
        <w:tc>
          <w:tcPr>
            <w:tcW w:w="2328" w:type="dxa"/>
            <w:vAlign w:val="center"/>
          </w:tcPr>
          <w:p w14:paraId="4B9B1830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 xml:space="preserve">45,13 eura </w:t>
            </w:r>
          </w:p>
          <w:p w14:paraId="17FBBFFC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(340,00 kuna)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0D228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50,00 eura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B176F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4,87 eura</w:t>
            </w:r>
          </w:p>
        </w:tc>
      </w:tr>
      <w:tr w:rsidR="00512CAC" w:rsidRPr="002179F5" w14:paraId="5E84B16D" w14:textId="77777777" w:rsidTr="00711C94">
        <w:trPr>
          <w:trHeight w:val="1302"/>
        </w:trPr>
        <w:tc>
          <w:tcPr>
            <w:tcW w:w="2025" w:type="dxa"/>
            <w:vAlign w:val="center"/>
          </w:tcPr>
          <w:p w14:paraId="112B486E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Po smještajnoj jedinici u objektu za robinzonski smještaj</w:t>
            </w:r>
          </w:p>
        </w:tc>
        <w:tc>
          <w:tcPr>
            <w:tcW w:w="2328" w:type="dxa"/>
            <w:vAlign w:val="center"/>
          </w:tcPr>
          <w:p w14:paraId="448661DA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45,13 eura</w:t>
            </w:r>
          </w:p>
          <w:p w14:paraId="7264C361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  <w:lang w:val="sk-SK" w:eastAsia="sk-SK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(340,00 kuna)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8629E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lang w:val="sk-SK" w:eastAsia="sk-SK"/>
              </w:rPr>
              <w:t>50,00 eura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FCF9" w14:textId="77777777" w:rsidR="00512CAC" w:rsidRPr="002179F5" w:rsidRDefault="00512CAC" w:rsidP="00877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F5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sk-SK" w:eastAsia="sk-SK"/>
              </w:rPr>
              <w:t>4,87 eura</w:t>
            </w:r>
          </w:p>
        </w:tc>
      </w:tr>
    </w:tbl>
    <w:p w14:paraId="7A8CB6C8" w14:textId="77777777" w:rsidR="006A3839" w:rsidRPr="002179F5" w:rsidRDefault="006A3839" w:rsidP="00C549E3">
      <w:pPr>
        <w:suppressAutoHyphens/>
        <w:spacing w:after="240" w:line="259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D03511E" w14:textId="77777777" w:rsidR="00F44FCD" w:rsidRPr="002179F5" w:rsidRDefault="00F44FCD" w:rsidP="00F44FCD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6" w:tgtFrame="_blank">
        <w:r w:rsidRPr="002179F5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7" w:tgtFrame="_blank">
        <w:r w:rsidRPr="002179F5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8" w:tgtFrame="_blank">
        <w:r w:rsidRPr="002179F5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534BA5E4" w14:textId="734E6599" w:rsidR="00F44FCD" w:rsidRPr="002179F5" w:rsidRDefault="00F44FCD" w:rsidP="00F44FCD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</w:t>
      </w:r>
      <w:r w:rsidR="00C93B2A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179F5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acrtom prijedloga Odluke i pribaviti primjedbe, prijedloge i/ili  mišljenja zainteresirane javnosti, kako bi predloženo, ukoliko je zakonito i stručno utemeljeno, bilo prihvaćeno od strane donositelja Odluke i u konačnosti ugrađeno u odredbe Odluke.</w:t>
      </w:r>
    </w:p>
    <w:p w14:paraId="18280C4C" w14:textId="5B970A3E" w:rsidR="00F44FCD" w:rsidRPr="002179F5" w:rsidRDefault="00F44FCD" w:rsidP="00F44FCD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179F5">
        <w:rPr>
          <w:rFonts w:ascii="Arial" w:hAnsi="Arial" w:cs="Arial"/>
          <w:b/>
          <w:bCs/>
          <w:sz w:val="24"/>
          <w:szCs w:val="24"/>
        </w:rPr>
        <w:t>od 1</w:t>
      </w:r>
      <w:r w:rsidR="000319BF" w:rsidRPr="002179F5">
        <w:rPr>
          <w:rFonts w:ascii="Arial" w:hAnsi="Arial" w:cs="Arial"/>
          <w:b/>
          <w:bCs/>
          <w:sz w:val="24"/>
          <w:szCs w:val="24"/>
        </w:rPr>
        <w:t>3</w:t>
      </w:r>
      <w:r w:rsidRPr="002179F5">
        <w:rPr>
          <w:rFonts w:ascii="Arial" w:hAnsi="Arial" w:cs="Arial"/>
          <w:b/>
          <w:bCs/>
          <w:sz w:val="24"/>
          <w:szCs w:val="24"/>
        </w:rPr>
        <w:t>. siječnja do 1</w:t>
      </w:r>
      <w:r w:rsidR="000319BF" w:rsidRPr="002179F5">
        <w:rPr>
          <w:rFonts w:ascii="Arial" w:hAnsi="Arial" w:cs="Arial"/>
          <w:b/>
          <w:bCs/>
          <w:sz w:val="24"/>
          <w:szCs w:val="24"/>
        </w:rPr>
        <w:t>3</w:t>
      </w:r>
      <w:r w:rsidRPr="002179F5">
        <w:rPr>
          <w:rFonts w:ascii="Arial" w:hAnsi="Arial" w:cs="Arial"/>
          <w:b/>
          <w:bCs/>
          <w:sz w:val="24"/>
          <w:szCs w:val="24"/>
        </w:rPr>
        <w:t>. veljače 2025. godine</w:t>
      </w:r>
      <w:r w:rsidRPr="002179F5">
        <w:rPr>
          <w:rFonts w:ascii="Arial" w:hAnsi="Arial" w:cs="Arial"/>
          <w:sz w:val="24"/>
          <w:szCs w:val="24"/>
        </w:rPr>
        <w:t xml:space="preserve">. </w:t>
      </w:r>
    </w:p>
    <w:p w14:paraId="536C8BBC" w14:textId="21D90EB0" w:rsidR="00F44FCD" w:rsidRDefault="00F44FCD" w:rsidP="00A50D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0DDE">
        <w:rPr>
          <w:rFonts w:ascii="Arial" w:hAnsi="Arial" w:cs="Arial"/>
          <w:sz w:val="24"/>
          <w:szCs w:val="24"/>
        </w:rPr>
        <w:t xml:space="preserve">Pozivamo Vas da svoje primjedbe, prijedloge i/ili mišljenja na </w:t>
      </w:r>
      <w:r w:rsidR="00A50DDE">
        <w:rPr>
          <w:rFonts w:ascii="Arial" w:hAnsi="Arial" w:cs="Arial"/>
          <w:sz w:val="24"/>
          <w:szCs w:val="24"/>
        </w:rPr>
        <w:t xml:space="preserve">Nacrt </w:t>
      </w:r>
      <w:r w:rsidRPr="00A50DDE">
        <w:rPr>
          <w:rFonts w:ascii="Arial" w:hAnsi="Arial" w:cs="Arial"/>
          <w:sz w:val="24"/>
          <w:szCs w:val="24"/>
        </w:rPr>
        <w:t>prijedlog</w:t>
      </w:r>
      <w:r w:rsidR="00A50DDE">
        <w:rPr>
          <w:rFonts w:ascii="Arial" w:hAnsi="Arial" w:cs="Arial"/>
          <w:sz w:val="24"/>
          <w:szCs w:val="24"/>
        </w:rPr>
        <w:t xml:space="preserve">a </w:t>
      </w:r>
      <w:r w:rsidRPr="00A50DDE">
        <w:rPr>
          <w:rFonts w:ascii="Arial" w:hAnsi="Arial" w:cs="Arial"/>
          <w:sz w:val="24"/>
          <w:szCs w:val="24"/>
        </w:rPr>
        <w:t xml:space="preserve">Odluke </w:t>
      </w:r>
      <w:r w:rsidR="00A50DDE" w:rsidRPr="00A50DDE">
        <w:rPr>
          <w:rFonts w:ascii="Arial" w:hAnsi="Arial" w:cs="Arial"/>
          <w:sz w:val="24"/>
          <w:szCs w:val="24"/>
        </w:rPr>
        <w:t>o visini paušalnog poreza za djelatnosti iznajmljivanja i smještaja u turizmu na području Općine Vinodolske općine</w:t>
      </w:r>
      <w:r w:rsidR="00A50DDE" w:rsidRPr="00A50DDE">
        <w:rPr>
          <w:rFonts w:ascii="Arial" w:hAnsi="Arial" w:cs="Arial"/>
          <w:sz w:val="24"/>
          <w:szCs w:val="24"/>
        </w:rPr>
        <w:t xml:space="preserve"> </w:t>
      </w:r>
      <w:r w:rsidRPr="00A50DDE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9" w:history="1">
        <w:r w:rsidRPr="00A50DDE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A50DDE">
        <w:rPr>
          <w:rFonts w:ascii="Arial" w:hAnsi="Arial" w:cs="Arial"/>
          <w:sz w:val="24"/>
          <w:szCs w:val="24"/>
        </w:rPr>
        <w:t xml:space="preserve">. </w:t>
      </w:r>
    </w:p>
    <w:p w14:paraId="0E8E6362" w14:textId="77777777" w:rsidR="00A50DDE" w:rsidRPr="00A50DDE" w:rsidRDefault="00A50DDE" w:rsidP="00A50DD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399A1F" w14:textId="77777777" w:rsidR="00F44FCD" w:rsidRPr="002179F5" w:rsidRDefault="00F44FCD" w:rsidP="00F44FCD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Primjedbe, prijedlozi i/ili mišljenja za vrijeme trajanja javne rasprave i savjetovanja mogu se uputiti putem obrasca. </w:t>
      </w:r>
    </w:p>
    <w:p w14:paraId="6ADA3D2C" w14:textId="77777777" w:rsidR="00F44FCD" w:rsidRPr="002179F5" w:rsidRDefault="00F44FCD" w:rsidP="00F44FCD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0FB4DADE" w14:textId="7728E976" w:rsidR="0060741B" w:rsidRPr="002179F5" w:rsidRDefault="00F44FCD" w:rsidP="002179F5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O usvajanju </w:t>
      </w:r>
      <w:r w:rsidR="00A50DDE">
        <w:rPr>
          <w:rFonts w:ascii="Arial" w:hAnsi="Arial" w:cs="Arial"/>
          <w:sz w:val="24"/>
          <w:szCs w:val="24"/>
        </w:rPr>
        <w:t>P</w:t>
      </w:r>
      <w:r w:rsidRPr="002179F5">
        <w:rPr>
          <w:rFonts w:ascii="Arial" w:hAnsi="Arial" w:cs="Arial"/>
          <w:sz w:val="24"/>
          <w:szCs w:val="24"/>
        </w:rPr>
        <w:t xml:space="preserve">rijedloga Odluke </w:t>
      </w:r>
      <w:r w:rsidR="00A50DDE" w:rsidRPr="00A50DDE">
        <w:rPr>
          <w:rFonts w:ascii="Arial" w:hAnsi="Arial" w:cs="Arial"/>
          <w:sz w:val="24"/>
          <w:szCs w:val="24"/>
        </w:rPr>
        <w:t xml:space="preserve">o visini paušalnog poreza za djelatnosti iznajmljivanja i smještaja u turizmu na području Općine Vinodolske općine </w:t>
      </w:r>
      <w:r w:rsidRPr="002179F5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5B9AF042" w14:textId="70FBF0AA" w:rsidR="00474C75" w:rsidRPr="002179F5" w:rsidRDefault="000319BF" w:rsidP="000319BF">
      <w:pPr>
        <w:spacing w:after="60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474C75" w:rsidRPr="002179F5">
        <w:rPr>
          <w:rFonts w:ascii="Arial" w:hAnsi="Arial" w:cs="Arial"/>
          <w:sz w:val="24"/>
          <w:szCs w:val="24"/>
        </w:rPr>
        <w:t>Pročelnik</w:t>
      </w:r>
    </w:p>
    <w:p w14:paraId="77B175FD" w14:textId="6164E819" w:rsidR="00474C75" w:rsidRPr="002179F5" w:rsidRDefault="00474C75" w:rsidP="00A50DDE">
      <w:pPr>
        <w:spacing w:after="60"/>
        <w:ind w:left="4956"/>
        <w:rPr>
          <w:rFonts w:ascii="Arial" w:hAnsi="Arial" w:cs="Arial"/>
          <w:sz w:val="24"/>
          <w:szCs w:val="24"/>
        </w:rPr>
      </w:pPr>
      <w:r w:rsidRPr="002179F5">
        <w:rPr>
          <w:rFonts w:ascii="Arial" w:hAnsi="Arial" w:cs="Arial"/>
          <w:sz w:val="24"/>
          <w:szCs w:val="24"/>
        </w:rPr>
        <w:t xml:space="preserve">Miljenko Šimić, </w:t>
      </w:r>
      <w:r w:rsidRPr="002179F5">
        <w:rPr>
          <w:rFonts w:ascii="Arial" w:hAnsi="Arial" w:cs="Arial"/>
          <w:i/>
          <w:iCs/>
          <w:sz w:val="24"/>
          <w:szCs w:val="24"/>
        </w:rPr>
        <w:t>dipl.ing.građ.</w:t>
      </w:r>
      <w:r w:rsidRPr="002179F5">
        <w:rPr>
          <w:rFonts w:ascii="Arial" w:hAnsi="Arial" w:cs="Arial"/>
          <w:sz w:val="24"/>
          <w:szCs w:val="24"/>
        </w:rPr>
        <w:t>, v.r.</w:t>
      </w:r>
    </w:p>
    <w:sectPr w:rsidR="00474C75" w:rsidRPr="0021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3C4272E0"/>
    <w:multiLevelType w:val="hybridMultilevel"/>
    <w:tmpl w:val="E3E093F0"/>
    <w:lvl w:ilvl="0" w:tplc="0304EC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78739">
    <w:abstractNumId w:val="1"/>
  </w:num>
  <w:num w:numId="2" w16cid:durableId="21635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5"/>
    <w:rsid w:val="000319BF"/>
    <w:rsid w:val="00041D6D"/>
    <w:rsid w:val="00084A29"/>
    <w:rsid w:val="00132A54"/>
    <w:rsid w:val="002179F5"/>
    <w:rsid w:val="00276A38"/>
    <w:rsid w:val="00315F83"/>
    <w:rsid w:val="0037027B"/>
    <w:rsid w:val="003E7E38"/>
    <w:rsid w:val="00416A1B"/>
    <w:rsid w:val="00432731"/>
    <w:rsid w:val="0045518E"/>
    <w:rsid w:val="00474C75"/>
    <w:rsid w:val="004A04A6"/>
    <w:rsid w:val="00512CAC"/>
    <w:rsid w:val="005303D4"/>
    <w:rsid w:val="005563F2"/>
    <w:rsid w:val="005F01A0"/>
    <w:rsid w:val="0060741B"/>
    <w:rsid w:val="006326FB"/>
    <w:rsid w:val="006A3839"/>
    <w:rsid w:val="00711C94"/>
    <w:rsid w:val="007F7992"/>
    <w:rsid w:val="00836EF6"/>
    <w:rsid w:val="00874044"/>
    <w:rsid w:val="00936D17"/>
    <w:rsid w:val="009506F8"/>
    <w:rsid w:val="00957144"/>
    <w:rsid w:val="009B3D67"/>
    <w:rsid w:val="00A17F1A"/>
    <w:rsid w:val="00A50DDE"/>
    <w:rsid w:val="00A81FB9"/>
    <w:rsid w:val="00B42A9B"/>
    <w:rsid w:val="00BE6B46"/>
    <w:rsid w:val="00C549E3"/>
    <w:rsid w:val="00C93B2A"/>
    <w:rsid w:val="00D54EEA"/>
    <w:rsid w:val="00D96080"/>
    <w:rsid w:val="00DF0326"/>
    <w:rsid w:val="00EA1EE7"/>
    <w:rsid w:val="00F44FCD"/>
    <w:rsid w:val="00F9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291F"/>
  <w15:chartTrackingRefBased/>
  <w15:docId w15:val="{6FBD3EDD-2C22-437D-A691-B491214E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4C7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4C7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4C7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4C7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4C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4C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4C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4C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4C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4C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4C7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7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4C7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7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4C7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74C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4C7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74C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4C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4C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4C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74C75"/>
    <w:rPr>
      <w:color w:val="467886" w:themeColor="hyperlink"/>
      <w:u w:val="single"/>
    </w:rPr>
  </w:style>
  <w:style w:type="paragraph" w:customStyle="1" w:styleId="box478731">
    <w:name w:val="box_478731"/>
    <w:basedOn w:val="Normal"/>
    <w:rsid w:val="008740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Tijeloteksta">
    <w:name w:val="Body Text"/>
    <w:basedOn w:val="Normal"/>
    <w:link w:val="TijelotekstaChar"/>
    <w:uiPriority w:val="1"/>
    <w:qFormat/>
    <w:rsid w:val="00512CAC"/>
    <w:pPr>
      <w:adjustRightInd w:val="0"/>
      <w:ind w:left="144"/>
    </w:pPr>
    <w:rPr>
      <w:rFonts w:ascii="Arial" w:eastAsiaTheme="minorEastAsia" w:hAnsi="Arial" w:cs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12CAC"/>
    <w:rPr>
      <w:rFonts w:ascii="Arial" w:eastAsiaTheme="minorEastAsia" w:hAnsi="Arial" w:cs="Arial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512CA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276A38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2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20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.tomasek@vinodo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9</cp:revision>
  <cp:lastPrinted>2025-01-20T12:33:00Z</cp:lastPrinted>
  <dcterms:created xsi:type="dcterms:W3CDTF">2025-01-20T12:32:00Z</dcterms:created>
  <dcterms:modified xsi:type="dcterms:W3CDTF">2025-01-20T12:59:00Z</dcterms:modified>
</cp:coreProperties>
</file>