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97B5" w14:textId="77777777" w:rsidR="00E14BFE" w:rsidRPr="000D3546" w:rsidRDefault="00515A98" w:rsidP="0065685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D3546">
        <w:rPr>
          <w:rFonts w:ascii="Arial" w:hAnsi="Arial" w:cs="Arial"/>
          <w:b/>
          <w:bCs/>
          <w:sz w:val="24"/>
          <w:szCs w:val="24"/>
        </w:rPr>
        <w:t>OBAVIJEST U SVEZI OGLASA</w:t>
      </w:r>
    </w:p>
    <w:p w14:paraId="2F33EA79" w14:textId="77777777" w:rsidR="00C84170" w:rsidRPr="00C84170" w:rsidRDefault="00E14BFE" w:rsidP="00C841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4170">
        <w:rPr>
          <w:rFonts w:ascii="Arial" w:hAnsi="Arial" w:cs="Arial"/>
          <w:b/>
          <w:bCs/>
          <w:sz w:val="24"/>
          <w:szCs w:val="24"/>
        </w:rPr>
        <w:t>za prijam u službu službenika/</w:t>
      </w:r>
      <w:r w:rsidR="00B71DD0">
        <w:rPr>
          <w:rFonts w:ascii="Arial" w:hAnsi="Arial" w:cs="Arial"/>
          <w:b/>
          <w:bCs/>
          <w:sz w:val="24"/>
          <w:szCs w:val="24"/>
        </w:rPr>
        <w:t xml:space="preserve">službenice </w:t>
      </w:r>
      <w:r w:rsidR="00C84170" w:rsidRPr="00C84170">
        <w:rPr>
          <w:rFonts w:ascii="Arial" w:hAnsi="Arial" w:cs="Arial"/>
          <w:b/>
          <w:bCs/>
          <w:sz w:val="24"/>
          <w:szCs w:val="24"/>
        </w:rPr>
        <w:t>na određeno vrijeme</w:t>
      </w:r>
    </w:p>
    <w:p w14:paraId="75B6F720" w14:textId="77777777" w:rsidR="00E14BFE" w:rsidRPr="000D3546" w:rsidRDefault="00C84170" w:rsidP="00C841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4170">
        <w:rPr>
          <w:rFonts w:ascii="Arial" w:hAnsi="Arial" w:cs="Arial"/>
          <w:b/>
          <w:bCs/>
          <w:sz w:val="24"/>
          <w:szCs w:val="24"/>
        </w:rPr>
        <w:t xml:space="preserve">(do povratka odsutnog službenika </w:t>
      </w:r>
      <w:r w:rsidR="002A6C30">
        <w:rPr>
          <w:rFonts w:ascii="Arial" w:hAnsi="Arial" w:cs="Arial"/>
          <w:b/>
          <w:bCs/>
          <w:sz w:val="24"/>
          <w:szCs w:val="24"/>
        </w:rPr>
        <w:t>s bolovanja</w:t>
      </w:r>
      <w:r w:rsidRPr="00C84170">
        <w:rPr>
          <w:rFonts w:ascii="Arial" w:hAnsi="Arial" w:cs="Arial"/>
          <w:b/>
          <w:bCs/>
          <w:sz w:val="24"/>
          <w:szCs w:val="24"/>
        </w:rPr>
        <w:t>)</w:t>
      </w:r>
      <w:r w:rsidR="00746AE8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0733784C" w14:textId="77777777" w:rsidR="00BE029E" w:rsidRPr="000D3546" w:rsidRDefault="00515A98" w:rsidP="006568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3546">
        <w:rPr>
          <w:rFonts w:ascii="Arial" w:hAnsi="Arial" w:cs="Arial"/>
          <w:b/>
          <w:bCs/>
          <w:sz w:val="24"/>
          <w:szCs w:val="24"/>
        </w:rPr>
        <w:t>Viši referent-Komunalni redar u Jedinstvenom upravnom odjelu Općine Vinodolske općine, Odsjek za komunalnu djelatnost i prostorno planiranje</w:t>
      </w:r>
    </w:p>
    <w:p w14:paraId="5C9A9DDA" w14:textId="77777777" w:rsidR="00734831" w:rsidRDefault="00734831" w:rsidP="00592DB5">
      <w:pPr>
        <w:jc w:val="both"/>
        <w:rPr>
          <w:rFonts w:ascii="Arial" w:hAnsi="Arial" w:cs="Arial"/>
          <w:sz w:val="24"/>
          <w:szCs w:val="24"/>
        </w:rPr>
      </w:pPr>
    </w:p>
    <w:p w14:paraId="32A68E69" w14:textId="6B349918" w:rsidR="00E14BFE" w:rsidRDefault="00515A98" w:rsidP="00592DB5">
      <w:pPr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Oglas</w:t>
      </w:r>
      <w:r w:rsidR="009652A7" w:rsidRPr="00656855">
        <w:rPr>
          <w:rFonts w:ascii="Arial" w:hAnsi="Arial" w:cs="Arial"/>
          <w:sz w:val="24"/>
          <w:szCs w:val="24"/>
        </w:rPr>
        <w:t xml:space="preserve"> za prijam </w:t>
      </w:r>
      <w:r w:rsidR="007533E6" w:rsidRPr="00656855">
        <w:rPr>
          <w:rFonts w:ascii="Arial" w:hAnsi="Arial" w:cs="Arial"/>
          <w:sz w:val="24"/>
          <w:szCs w:val="24"/>
        </w:rPr>
        <w:t>u službu službenika/</w:t>
      </w:r>
      <w:r w:rsidR="00E11A6D">
        <w:rPr>
          <w:rFonts w:ascii="Arial" w:hAnsi="Arial" w:cs="Arial"/>
          <w:sz w:val="24"/>
          <w:szCs w:val="24"/>
        </w:rPr>
        <w:t>službenice</w:t>
      </w:r>
      <w:r w:rsidR="00A40AB8">
        <w:rPr>
          <w:rFonts w:ascii="Arial" w:hAnsi="Arial" w:cs="Arial"/>
          <w:sz w:val="24"/>
          <w:szCs w:val="24"/>
        </w:rPr>
        <w:t xml:space="preserve"> </w:t>
      </w:r>
      <w:r w:rsidR="00300589">
        <w:rPr>
          <w:rFonts w:ascii="Arial" w:hAnsi="Arial" w:cs="Arial"/>
          <w:sz w:val="24"/>
          <w:szCs w:val="24"/>
        </w:rPr>
        <w:t xml:space="preserve">na određeno vrijeme (do povratka odsutnog službenika s bolovanja) - </w:t>
      </w:r>
      <w:r w:rsidRPr="00656855">
        <w:rPr>
          <w:rFonts w:ascii="Arial" w:hAnsi="Arial" w:cs="Arial"/>
          <w:sz w:val="24"/>
          <w:szCs w:val="24"/>
        </w:rPr>
        <w:t>Viši referent-Komunalni redar u Jedinstvenom upravnom odjelu Općine Vinodolske općine, Odsjek za komunalnu djelatnost i prostorno planiranje</w:t>
      </w:r>
      <w:r w:rsidR="00E27197">
        <w:rPr>
          <w:rFonts w:ascii="Arial" w:hAnsi="Arial" w:cs="Arial"/>
          <w:sz w:val="24"/>
          <w:szCs w:val="24"/>
        </w:rPr>
        <w:t>,</w:t>
      </w:r>
      <w:r w:rsidRPr="00656855">
        <w:rPr>
          <w:rFonts w:ascii="Arial" w:hAnsi="Arial" w:cs="Arial"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sz w:val="24"/>
          <w:szCs w:val="24"/>
        </w:rPr>
        <w:t xml:space="preserve">objavljen je </w:t>
      </w:r>
      <w:r w:rsidRPr="00656855">
        <w:rPr>
          <w:rFonts w:ascii="Arial" w:hAnsi="Arial" w:cs="Arial"/>
          <w:sz w:val="24"/>
          <w:szCs w:val="24"/>
        </w:rPr>
        <w:t xml:space="preserve">mrežnim stranicama Hrvatskog zavoda za zapošljavanje </w:t>
      </w:r>
      <w:r w:rsidR="00A40AB8">
        <w:rPr>
          <w:rFonts w:ascii="Arial" w:hAnsi="Arial" w:cs="Arial"/>
          <w:sz w:val="24"/>
          <w:szCs w:val="24"/>
        </w:rPr>
        <w:t xml:space="preserve">i Općine Vinodolske općine </w:t>
      </w:r>
      <w:r w:rsidR="00657B85">
        <w:rPr>
          <w:rFonts w:ascii="Arial" w:hAnsi="Arial" w:cs="Arial"/>
          <w:sz w:val="24"/>
          <w:szCs w:val="24"/>
        </w:rPr>
        <w:t>29</w:t>
      </w:r>
      <w:r w:rsidRPr="00656855">
        <w:rPr>
          <w:rFonts w:ascii="Arial" w:hAnsi="Arial" w:cs="Arial"/>
          <w:sz w:val="24"/>
          <w:szCs w:val="24"/>
        </w:rPr>
        <w:t xml:space="preserve">. </w:t>
      </w:r>
      <w:r w:rsidR="00657B85">
        <w:rPr>
          <w:rFonts w:ascii="Arial" w:hAnsi="Arial" w:cs="Arial"/>
          <w:sz w:val="24"/>
          <w:szCs w:val="24"/>
        </w:rPr>
        <w:t xml:space="preserve">travnja </w:t>
      </w:r>
      <w:r w:rsidR="00A40AB8">
        <w:rPr>
          <w:rFonts w:ascii="Arial" w:hAnsi="Arial" w:cs="Arial"/>
          <w:sz w:val="24"/>
          <w:szCs w:val="24"/>
        </w:rPr>
        <w:t>2024</w:t>
      </w:r>
      <w:r w:rsidRPr="00656855">
        <w:rPr>
          <w:rFonts w:ascii="Arial" w:hAnsi="Arial" w:cs="Arial"/>
          <w:sz w:val="24"/>
          <w:szCs w:val="24"/>
        </w:rPr>
        <w:t xml:space="preserve">. </w:t>
      </w:r>
      <w:r w:rsidR="00E14BFE" w:rsidRPr="00656855">
        <w:rPr>
          <w:rFonts w:ascii="Arial" w:hAnsi="Arial" w:cs="Arial"/>
          <w:sz w:val="24"/>
          <w:szCs w:val="24"/>
        </w:rPr>
        <w:t>te od da</w:t>
      </w:r>
      <w:r w:rsidR="0009356D" w:rsidRPr="00656855">
        <w:rPr>
          <w:rFonts w:ascii="Arial" w:hAnsi="Arial" w:cs="Arial"/>
          <w:sz w:val="24"/>
          <w:szCs w:val="24"/>
        </w:rPr>
        <w:t xml:space="preserve">na objave počinje teći rok od </w:t>
      </w:r>
      <w:r w:rsidR="00B734DA">
        <w:rPr>
          <w:rFonts w:ascii="Arial" w:hAnsi="Arial" w:cs="Arial"/>
          <w:sz w:val="24"/>
          <w:szCs w:val="24"/>
        </w:rPr>
        <w:t>8 (osam)</w:t>
      </w:r>
      <w:r w:rsidR="00E14BFE" w:rsidRPr="00656855">
        <w:rPr>
          <w:rFonts w:ascii="Arial" w:hAnsi="Arial" w:cs="Arial"/>
          <w:sz w:val="24"/>
          <w:szCs w:val="24"/>
        </w:rPr>
        <w:t xml:space="preserve"> dana z</w:t>
      </w:r>
      <w:r w:rsidRPr="00656855">
        <w:rPr>
          <w:rFonts w:ascii="Arial" w:hAnsi="Arial" w:cs="Arial"/>
          <w:sz w:val="24"/>
          <w:szCs w:val="24"/>
        </w:rPr>
        <w:t>a podnošenje prijava na oglas</w:t>
      </w:r>
      <w:r w:rsidR="00E14BFE" w:rsidRPr="00656855">
        <w:rPr>
          <w:rFonts w:ascii="Arial" w:hAnsi="Arial" w:cs="Arial"/>
          <w:sz w:val="24"/>
          <w:szCs w:val="24"/>
        </w:rPr>
        <w:t xml:space="preserve">. </w:t>
      </w:r>
    </w:p>
    <w:p w14:paraId="3AB2204C" w14:textId="77777777" w:rsidR="00734831" w:rsidRPr="00656855" w:rsidRDefault="00734831" w:rsidP="00734831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Riječi i pojmovi koji imaju rodno značenje korišteni u ovoj Obavijesti odnose se jednako na muški i ženski rod, bez obzira jesu li korišteni u muškom ili ženskom rodu. </w:t>
      </w:r>
    </w:p>
    <w:p w14:paraId="5E8DC864" w14:textId="77777777" w:rsidR="00734831" w:rsidRDefault="00734831" w:rsidP="00E14BFE">
      <w:pPr>
        <w:rPr>
          <w:rFonts w:ascii="Arial" w:hAnsi="Arial" w:cs="Arial"/>
          <w:b/>
          <w:sz w:val="24"/>
          <w:szCs w:val="24"/>
        </w:rPr>
      </w:pPr>
    </w:p>
    <w:p w14:paraId="004D9ACB" w14:textId="77777777" w:rsidR="00734831" w:rsidRPr="00656855" w:rsidRDefault="00E14BFE" w:rsidP="00E14BFE">
      <w:pPr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OBAVIJESTI I UPUTE</w:t>
      </w:r>
    </w:p>
    <w:p w14:paraId="3C3817E4" w14:textId="77777777" w:rsidR="00E14BFE" w:rsidRPr="00656855" w:rsidRDefault="00E14BFE" w:rsidP="00E14BFE">
      <w:pPr>
        <w:pStyle w:val="Odlomakpopisa"/>
        <w:ind w:left="360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 OPIS POSLOVA</w:t>
      </w:r>
    </w:p>
    <w:p w14:paraId="4EF95DDF" w14:textId="77777777" w:rsidR="003D7C8E" w:rsidRDefault="003D7C8E" w:rsidP="003D7C8E">
      <w:pPr>
        <w:jc w:val="both"/>
        <w:rPr>
          <w:rStyle w:val="bold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D7C8E">
        <w:rPr>
          <w:rFonts w:ascii="Arial" w:hAnsi="Arial" w:cs="Arial"/>
          <w:sz w:val="24"/>
          <w:szCs w:val="24"/>
        </w:rPr>
        <w:t>Opis poslova i zadataka službenika/službenice Viši referent-Komunalni redar u Jedinstvenom upravnom odjelu Općine Vinodolske općine, Odsjek za komunalnu djelatnost i prostorno planiranje,</w:t>
      </w:r>
      <w:r w:rsidRPr="003D7C8E">
        <w:rPr>
          <w:rStyle w:val="bold1"/>
          <w:rFonts w:ascii="Arial" w:hAnsi="Arial" w:cs="Arial"/>
          <w:color w:val="000000"/>
          <w:sz w:val="24"/>
          <w:szCs w:val="24"/>
        </w:rPr>
        <w:t xml:space="preserve"> </w:t>
      </w:r>
      <w:r w:rsidRPr="003D7C8E">
        <w:rPr>
          <w:rStyle w:val="bold1"/>
          <w:rFonts w:ascii="Arial" w:hAnsi="Arial" w:cs="Arial"/>
          <w:b w:val="0"/>
          <w:bCs w:val="0"/>
          <w:color w:val="000000"/>
          <w:sz w:val="24"/>
          <w:szCs w:val="24"/>
        </w:rPr>
        <w:t>uz približan postotak vremena potreban za obavljanje pojedinog posla (m/ž).</w:t>
      </w:r>
    </w:p>
    <w:p w14:paraId="4F930648" w14:textId="77777777" w:rsidR="00442B6E" w:rsidRPr="003D7C8E" w:rsidRDefault="00442B6E" w:rsidP="003D7C8E">
      <w:pPr>
        <w:jc w:val="both"/>
        <w:rPr>
          <w:rStyle w:val="bold1"/>
          <w:rFonts w:ascii="Arial" w:hAnsi="Arial" w:cs="Arial"/>
          <w:b w:val="0"/>
          <w:bCs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826AA" w:rsidRPr="00656855" w14:paraId="1C712C62" w14:textId="77777777" w:rsidTr="003743C7">
        <w:tc>
          <w:tcPr>
            <w:tcW w:w="4644" w:type="dxa"/>
            <w:shd w:val="clear" w:color="auto" w:fill="auto"/>
          </w:tcPr>
          <w:p w14:paraId="5664E2EE" w14:textId="77777777" w:rsidR="00C826AA" w:rsidRPr="00656855" w:rsidRDefault="00C826AA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OPIS POSLOVA I ZADATAKA</w:t>
            </w:r>
          </w:p>
        </w:tc>
        <w:tc>
          <w:tcPr>
            <w:tcW w:w="4644" w:type="dxa"/>
            <w:shd w:val="clear" w:color="auto" w:fill="auto"/>
          </w:tcPr>
          <w:p w14:paraId="77629814" w14:textId="77777777" w:rsidR="00C826AA" w:rsidRPr="00656855" w:rsidRDefault="00C826AA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C826AA" w:rsidRPr="00656855" w14:paraId="7F63AD41" w14:textId="77777777" w:rsidTr="003743C7">
        <w:tc>
          <w:tcPr>
            <w:tcW w:w="4644" w:type="dxa"/>
            <w:shd w:val="clear" w:color="auto" w:fill="auto"/>
          </w:tcPr>
          <w:p w14:paraId="3CC05B7B" w14:textId="77777777" w:rsidR="00C826AA" w:rsidRPr="00656855" w:rsidRDefault="000D5A44" w:rsidP="003743C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nadzire provođenje akata iz područja komunalnog gospodarstva, posebice iz područja komunalnog reda i dr.</w:t>
            </w:r>
          </w:p>
        </w:tc>
        <w:tc>
          <w:tcPr>
            <w:tcW w:w="4644" w:type="dxa"/>
            <w:shd w:val="clear" w:color="auto" w:fill="auto"/>
          </w:tcPr>
          <w:p w14:paraId="3A825A25" w14:textId="77777777" w:rsidR="00C826AA" w:rsidRPr="00656855" w:rsidRDefault="000D5A44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35C91CD3" w14:textId="77777777" w:rsidR="00C826AA" w:rsidRPr="00656855" w:rsidRDefault="00C826AA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6AA" w:rsidRPr="00656855" w14:paraId="295F69A8" w14:textId="77777777" w:rsidTr="003743C7">
        <w:tc>
          <w:tcPr>
            <w:tcW w:w="4644" w:type="dxa"/>
            <w:shd w:val="clear" w:color="auto" w:fill="auto"/>
          </w:tcPr>
          <w:p w14:paraId="2DFA9851" w14:textId="77777777" w:rsidR="00C826AA" w:rsidRPr="00656855" w:rsidRDefault="000D5A44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postupa sukladno odredbama Zakona o građevinskoj inspekciji</w:t>
            </w:r>
          </w:p>
        </w:tc>
        <w:tc>
          <w:tcPr>
            <w:tcW w:w="4644" w:type="dxa"/>
            <w:shd w:val="clear" w:color="auto" w:fill="auto"/>
          </w:tcPr>
          <w:p w14:paraId="01B21F17" w14:textId="77777777" w:rsidR="00C826AA" w:rsidRPr="00656855" w:rsidRDefault="00C826AA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826AA" w:rsidRPr="00656855" w14:paraId="3A399A4A" w14:textId="77777777" w:rsidTr="003743C7">
        <w:tc>
          <w:tcPr>
            <w:tcW w:w="4644" w:type="dxa"/>
            <w:shd w:val="clear" w:color="auto" w:fill="auto"/>
          </w:tcPr>
          <w:p w14:paraId="4C6523A1" w14:textId="77777777" w:rsidR="00C826AA" w:rsidRPr="00656855" w:rsidRDefault="003D7C8E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 xml:space="preserve">nadzire održavanje groblja i drugih javnih površina </w:t>
            </w:r>
          </w:p>
        </w:tc>
        <w:tc>
          <w:tcPr>
            <w:tcW w:w="4644" w:type="dxa"/>
            <w:shd w:val="clear" w:color="auto" w:fill="auto"/>
          </w:tcPr>
          <w:p w14:paraId="5F14C0E9" w14:textId="77777777" w:rsidR="00C826AA" w:rsidRPr="00656855" w:rsidRDefault="003D7C8E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D5A44" w:rsidRPr="006568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26AA" w:rsidRPr="00656855" w14:paraId="2AC0DD07" w14:textId="77777777" w:rsidTr="003743C7">
        <w:tc>
          <w:tcPr>
            <w:tcW w:w="4644" w:type="dxa"/>
            <w:shd w:val="clear" w:color="auto" w:fill="auto"/>
          </w:tcPr>
          <w:p w14:paraId="4EE0D516" w14:textId="77777777" w:rsidR="00C826AA" w:rsidRPr="00656855" w:rsidRDefault="003D7C8E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koordinira u obavljanju poslova dezinsekcije, dezinfekcije i deratizacije te zaštite bilja</w:t>
            </w:r>
          </w:p>
        </w:tc>
        <w:tc>
          <w:tcPr>
            <w:tcW w:w="4644" w:type="dxa"/>
            <w:shd w:val="clear" w:color="auto" w:fill="auto"/>
          </w:tcPr>
          <w:p w14:paraId="225B7C6B" w14:textId="77777777" w:rsidR="00C826AA" w:rsidRPr="00656855" w:rsidRDefault="003D7C8E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D5A44" w:rsidRPr="006568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D5A44" w:rsidRPr="00656855" w14:paraId="2418254E" w14:textId="77777777" w:rsidTr="000D5A44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C4F" w14:textId="77777777" w:rsidR="000D5A44" w:rsidRPr="00656855" w:rsidRDefault="000D5A44" w:rsidP="000D5A44">
            <w:pPr>
              <w:tabs>
                <w:tab w:val="left" w:pos="10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685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prima stranke i daje određena tumačenja </w:t>
            </w:r>
            <w:r w:rsidRPr="0065685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i obrazloženja u okviru svoje nadležnosti</w:t>
            </w:r>
          </w:p>
        </w:tc>
        <w:tc>
          <w:tcPr>
            <w:tcW w:w="4644" w:type="dxa"/>
            <w:shd w:val="clear" w:color="auto" w:fill="auto"/>
          </w:tcPr>
          <w:p w14:paraId="566CB993" w14:textId="77777777" w:rsidR="000D5A44" w:rsidRPr="00656855" w:rsidRDefault="000D5A44" w:rsidP="000D5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</w:tr>
      <w:tr w:rsidR="000D5A44" w:rsidRPr="00656855" w14:paraId="300B1392" w14:textId="77777777" w:rsidTr="003743C7">
        <w:tc>
          <w:tcPr>
            <w:tcW w:w="4644" w:type="dxa"/>
            <w:shd w:val="clear" w:color="auto" w:fill="auto"/>
          </w:tcPr>
          <w:p w14:paraId="4D5BE033" w14:textId="77777777" w:rsidR="000D5A44" w:rsidRPr="00656855" w:rsidRDefault="000D5A44" w:rsidP="000D5A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 xml:space="preserve">sudjeluje u organizaciji, tehničkim pripremama i realizaciji kulturnih, sportskih i dr. programskih aktivnosti te brine o tekućem održavanju poslovnih zgrada u vlasništvu </w:t>
            </w:r>
            <w:r w:rsidR="003D7C8E">
              <w:rPr>
                <w:rFonts w:ascii="Arial" w:hAnsi="Arial" w:cs="Arial"/>
                <w:sz w:val="24"/>
                <w:szCs w:val="24"/>
              </w:rPr>
              <w:t xml:space="preserve">Općine </w:t>
            </w:r>
            <w:r w:rsidRPr="00656855">
              <w:rPr>
                <w:rFonts w:ascii="Arial" w:hAnsi="Arial" w:cs="Arial"/>
                <w:sz w:val="24"/>
                <w:szCs w:val="24"/>
              </w:rPr>
              <w:t>Vinodolske općine, uređaja i opreme</w:t>
            </w:r>
          </w:p>
        </w:tc>
        <w:tc>
          <w:tcPr>
            <w:tcW w:w="4644" w:type="dxa"/>
            <w:shd w:val="clear" w:color="auto" w:fill="auto"/>
          </w:tcPr>
          <w:p w14:paraId="58B4ED93" w14:textId="77777777" w:rsidR="000D5A44" w:rsidRPr="00656855" w:rsidRDefault="000D5A44" w:rsidP="000D5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D5A44" w:rsidRPr="00656855" w14:paraId="5DC07358" w14:textId="77777777" w:rsidTr="003743C7">
        <w:tc>
          <w:tcPr>
            <w:tcW w:w="4644" w:type="dxa"/>
            <w:shd w:val="clear" w:color="auto" w:fill="auto"/>
          </w:tcPr>
          <w:p w14:paraId="33FA827C" w14:textId="77777777" w:rsidR="000D5A44" w:rsidRPr="00656855" w:rsidRDefault="000D5A44" w:rsidP="000D5A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prati propise i sastavlja izvješća iz djelokruga rada te obavlja i druge poslove iz djelokruga rada po nalogu pročelnika i voditelja Odsjeka</w:t>
            </w:r>
          </w:p>
        </w:tc>
        <w:tc>
          <w:tcPr>
            <w:tcW w:w="4644" w:type="dxa"/>
            <w:shd w:val="clear" w:color="auto" w:fill="auto"/>
          </w:tcPr>
          <w:p w14:paraId="2C6C9C99" w14:textId="77777777" w:rsidR="000D5A44" w:rsidRPr="00656855" w:rsidRDefault="000D5A44" w:rsidP="000D5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3B15E809" w14:textId="77777777" w:rsidR="00E14BFE" w:rsidRPr="00656855" w:rsidRDefault="00E14BFE" w:rsidP="0072476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737EC7" w14:textId="77777777" w:rsidR="00E14BFE" w:rsidRDefault="004F411F" w:rsidP="00724766">
      <w:pPr>
        <w:pStyle w:val="Odlomakpopis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</w:t>
      </w:r>
      <w:r w:rsidR="00C826AA" w:rsidRPr="00656855">
        <w:rPr>
          <w:rFonts w:ascii="Arial" w:hAnsi="Arial" w:cs="Arial"/>
          <w:b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b/>
          <w:sz w:val="24"/>
          <w:szCs w:val="24"/>
        </w:rPr>
        <w:t>PODACI O PLAĆI</w:t>
      </w:r>
    </w:p>
    <w:p w14:paraId="33D38C82" w14:textId="77777777" w:rsidR="003D7C8E" w:rsidRPr="00656855" w:rsidRDefault="003D7C8E" w:rsidP="00724766">
      <w:pPr>
        <w:pStyle w:val="Odlomakpopis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5C22680" w14:textId="77777777" w:rsidR="00734831" w:rsidRPr="003D7C8E" w:rsidRDefault="003D7C8E" w:rsidP="003D7C8E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Koeficijent složenosti poslova navedenog radnog mjesta je </w:t>
      </w:r>
      <w:r w:rsidR="00734831">
        <w:rPr>
          <w:rFonts w:ascii="Arial" w:hAnsi="Arial" w:cs="Arial"/>
          <w:sz w:val="24"/>
          <w:szCs w:val="24"/>
        </w:rPr>
        <w:t>1</w:t>
      </w:r>
      <w:r w:rsidRPr="000340E5">
        <w:rPr>
          <w:rFonts w:ascii="Arial" w:hAnsi="Arial" w:cs="Arial"/>
          <w:sz w:val="24"/>
          <w:szCs w:val="24"/>
        </w:rPr>
        <w:t>,</w:t>
      </w:r>
      <w:r w:rsidR="00734831">
        <w:rPr>
          <w:rFonts w:ascii="Arial" w:hAnsi="Arial" w:cs="Arial"/>
          <w:sz w:val="24"/>
          <w:szCs w:val="24"/>
        </w:rPr>
        <w:t>80</w:t>
      </w:r>
      <w:r w:rsidRPr="000340E5">
        <w:rPr>
          <w:rFonts w:ascii="Arial" w:hAnsi="Arial" w:cs="Arial"/>
          <w:sz w:val="24"/>
          <w:szCs w:val="24"/>
        </w:rPr>
        <w:t xml:space="preserve"> uz osnovicu za izračun plaće u iznosu od 656,98 </w:t>
      </w:r>
      <w:r w:rsidR="00734831">
        <w:rPr>
          <w:rFonts w:ascii="Arial" w:hAnsi="Arial" w:cs="Arial"/>
          <w:sz w:val="24"/>
          <w:szCs w:val="24"/>
        </w:rPr>
        <w:t>EUR-a</w:t>
      </w:r>
      <w:r w:rsidRPr="000340E5">
        <w:rPr>
          <w:rFonts w:ascii="Arial" w:hAnsi="Arial" w:cs="Arial"/>
          <w:sz w:val="24"/>
          <w:szCs w:val="24"/>
        </w:rPr>
        <w:t xml:space="preserve"> bruto. Plaću službenika čini umnožak koeficijenta složenosti poslova radnog mjesta na koje je službenik raspoređen i osnovice za izračun plaće, uvećan za 0,5% za svaku navršenu godinu radnog staža. </w:t>
      </w:r>
    </w:p>
    <w:p w14:paraId="144BDD16" w14:textId="77777777" w:rsidR="00E14BFE" w:rsidRPr="00656855" w:rsidRDefault="004F411F" w:rsidP="004F411F">
      <w:pPr>
        <w:pStyle w:val="Odlomakpopisa"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</w:t>
      </w:r>
      <w:r w:rsidR="00C826AA" w:rsidRPr="00656855">
        <w:rPr>
          <w:rFonts w:ascii="Arial" w:hAnsi="Arial" w:cs="Arial"/>
          <w:b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b/>
          <w:sz w:val="24"/>
          <w:szCs w:val="24"/>
        </w:rPr>
        <w:t xml:space="preserve">NAČIN OBAVLJANJA PRETHODNE PROVJERE ZNANJA I </w:t>
      </w:r>
      <w:r w:rsidR="00A06416" w:rsidRPr="00656855">
        <w:rPr>
          <w:rFonts w:ascii="Arial" w:hAnsi="Arial" w:cs="Arial"/>
          <w:b/>
          <w:sz w:val="24"/>
          <w:szCs w:val="24"/>
        </w:rPr>
        <w:t xml:space="preserve">  </w:t>
      </w:r>
      <w:r w:rsidR="00E14BFE" w:rsidRPr="00656855">
        <w:rPr>
          <w:rFonts w:ascii="Arial" w:hAnsi="Arial" w:cs="Arial"/>
          <w:b/>
          <w:sz w:val="24"/>
          <w:szCs w:val="24"/>
        </w:rPr>
        <w:t>SPOSOBNOSTI KANDIDATA:</w:t>
      </w:r>
    </w:p>
    <w:p w14:paraId="3D6D4DA3" w14:textId="77777777" w:rsidR="0063494D" w:rsidRPr="00656855" w:rsidRDefault="0063494D" w:rsidP="00E14BFE">
      <w:pPr>
        <w:spacing w:after="0"/>
        <w:rPr>
          <w:rFonts w:ascii="Arial" w:hAnsi="Arial" w:cs="Arial"/>
          <w:sz w:val="24"/>
          <w:szCs w:val="24"/>
        </w:rPr>
      </w:pPr>
    </w:p>
    <w:p w14:paraId="25484C58" w14:textId="77777777" w:rsidR="00E14BFE" w:rsidRPr="00656855" w:rsidRDefault="00E14BFE" w:rsidP="007247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Prethodna provjera znanja i sposobnosti kandidata provest će se putem:</w:t>
      </w:r>
    </w:p>
    <w:p w14:paraId="61A5958C" w14:textId="77777777" w:rsidR="00E14BFE" w:rsidRPr="00656855" w:rsidRDefault="00E14BFE" w:rsidP="0072476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A: pisanog testiranja</w:t>
      </w:r>
    </w:p>
    <w:p w14:paraId="286703F0" w14:textId="77777777" w:rsidR="00E14BFE" w:rsidRPr="00656855" w:rsidRDefault="00E14BFE" w:rsidP="0072476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B: intervjua</w:t>
      </w:r>
      <w:r w:rsidR="003D7C8E">
        <w:rPr>
          <w:rFonts w:ascii="Arial" w:hAnsi="Arial" w:cs="Arial"/>
          <w:sz w:val="24"/>
          <w:szCs w:val="24"/>
        </w:rPr>
        <w:t xml:space="preserve"> (razgovora)</w:t>
      </w:r>
      <w:r w:rsidRPr="00656855">
        <w:rPr>
          <w:rFonts w:ascii="Arial" w:hAnsi="Arial" w:cs="Arial"/>
          <w:sz w:val="24"/>
          <w:szCs w:val="24"/>
        </w:rPr>
        <w:t>.</w:t>
      </w:r>
    </w:p>
    <w:p w14:paraId="130ECD21" w14:textId="77777777" w:rsidR="00E14BFE" w:rsidRPr="00656855" w:rsidRDefault="004F411F" w:rsidP="003D7C8E">
      <w:pPr>
        <w:spacing w:before="100" w:beforeAutospacing="1" w:after="100" w:afterAutospacing="1" w:line="240" w:lineRule="auto"/>
        <w:ind w:firstLine="360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</w:t>
      </w:r>
      <w:r w:rsidR="00C826AA" w:rsidRPr="00656855">
        <w:rPr>
          <w:rFonts w:ascii="Arial" w:hAnsi="Arial" w:cs="Arial"/>
          <w:b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b/>
          <w:sz w:val="24"/>
          <w:szCs w:val="24"/>
        </w:rPr>
        <w:t>TESTIRANJE</w:t>
      </w:r>
    </w:p>
    <w:p w14:paraId="39E034A5" w14:textId="77777777" w:rsidR="00E14BFE" w:rsidRPr="00656855" w:rsidRDefault="00E14BFE" w:rsidP="00E14BFE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656855">
        <w:rPr>
          <w:rFonts w:ascii="Arial" w:hAnsi="Arial" w:cs="Arial"/>
          <w:b/>
          <w:bCs/>
          <w:sz w:val="24"/>
          <w:szCs w:val="24"/>
        </w:rPr>
        <w:t>A: PRAVILA PISANOG TESTIRANJA</w:t>
      </w:r>
    </w:p>
    <w:p w14:paraId="6950669F" w14:textId="77777777" w:rsidR="00E14BFE" w:rsidRPr="00656855" w:rsidRDefault="00E14BFE" w:rsidP="00E14BFE">
      <w:pPr>
        <w:spacing w:after="0"/>
        <w:rPr>
          <w:rFonts w:ascii="Arial" w:hAnsi="Arial" w:cs="Arial"/>
          <w:bCs/>
          <w:sz w:val="24"/>
          <w:szCs w:val="24"/>
        </w:rPr>
      </w:pPr>
    </w:p>
    <w:p w14:paraId="4C7DC2F1" w14:textId="77777777" w:rsidR="00E14BFE" w:rsidRDefault="00E14BFE" w:rsidP="0072476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56855">
        <w:rPr>
          <w:rFonts w:ascii="Arial" w:hAnsi="Arial" w:cs="Arial"/>
          <w:bCs/>
          <w:sz w:val="24"/>
          <w:szCs w:val="24"/>
        </w:rPr>
        <w:t>Pravni izvori i drugi izvori za pripremanje kandid</w:t>
      </w:r>
      <w:r w:rsidR="005843B6" w:rsidRPr="00656855">
        <w:rPr>
          <w:rFonts w:ascii="Arial" w:hAnsi="Arial" w:cs="Arial"/>
          <w:bCs/>
          <w:sz w:val="24"/>
          <w:szCs w:val="24"/>
        </w:rPr>
        <w:t>ata za pismeno testiranje su sl</w:t>
      </w:r>
      <w:r w:rsidRPr="00656855">
        <w:rPr>
          <w:rFonts w:ascii="Arial" w:hAnsi="Arial" w:cs="Arial"/>
          <w:bCs/>
          <w:sz w:val="24"/>
          <w:szCs w:val="24"/>
        </w:rPr>
        <w:t xml:space="preserve">jedeći: </w:t>
      </w:r>
    </w:p>
    <w:p w14:paraId="0FAC87F2" w14:textId="77777777" w:rsidR="00CB04D1" w:rsidRPr="00656855" w:rsidRDefault="00CB04D1" w:rsidP="0072476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8E81412" w14:textId="77777777" w:rsidR="00E14BFE" w:rsidRPr="00CB04D1" w:rsidRDefault="00E14BFE" w:rsidP="00724766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CB04D1">
        <w:rPr>
          <w:rFonts w:ascii="Arial" w:hAnsi="Arial" w:cs="Arial"/>
          <w:bCs/>
          <w:iCs/>
          <w:sz w:val="24"/>
          <w:szCs w:val="24"/>
        </w:rPr>
        <w:t>ZAKONI</w:t>
      </w:r>
    </w:p>
    <w:p w14:paraId="2A56E97B" w14:textId="77777777" w:rsidR="007317C9" w:rsidRPr="00656855" w:rsidRDefault="007317C9" w:rsidP="00724766">
      <w:p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6347DF96" w14:textId="77777777" w:rsidR="000D3546" w:rsidRDefault="00CF3F24" w:rsidP="000D3546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40451">
        <w:rPr>
          <w:rFonts w:ascii="Arial" w:hAnsi="Arial" w:cs="Arial"/>
          <w:sz w:val="24"/>
          <w:szCs w:val="24"/>
        </w:rPr>
        <w:t xml:space="preserve">Zakon o lokalnoj i područnoj (regionalnoj) samoupravi </w:t>
      </w:r>
      <w:r w:rsidR="000D3546" w:rsidRPr="004528C3">
        <w:rPr>
          <w:rFonts w:ascii="Arial" w:hAnsi="Arial" w:cs="Arial"/>
          <w:sz w:val="24"/>
          <w:szCs w:val="24"/>
        </w:rPr>
        <w:t xml:space="preserve">(„Narodne novine“ broj: 33/01., 60/01., 129/05., 109/07., 125/08., 36/09., 150/11., 144/12., </w:t>
      </w:r>
      <w:r w:rsidR="000D3546" w:rsidRPr="00040451">
        <w:rPr>
          <w:rFonts w:ascii="Arial" w:hAnsi="Arial" w:cs="Arial"/>
          <w:sz w:val="24"/>
          <w:szCs w:val="24"/>
        </w:rPr>
        <w:t xml:space="preserve">19/13.-pročišćeni tekst, 137/15.-ispravak pročišćenog teksta, </w:t>
      </w:r>
      <w:r w:rsidR="000D3546" w:rsidRPr="004528C3">
        <w:rPr>
          <w:rFonts w:ascii="Arial" w:hAnsi="Arial" w:cs="Arial"/>
          <w:sz w:val="24"/>
          <w:szCs w:val="24"/>
        </w:rPr>
        <w:t>123/17., 98/19. i 144/20</w:t>
      </w:r>
      <w:r w:rsidR="000D3546" w:rsidRPr="000D3546">
        <w:rPr>
          <w:rFonts w:ascii="Arial" w:hAnsi="Arial" w:cs="Arial"/>
          <w:color w:val="000000"/>
          <w:sz w:val="24"/>
          <w:szCs w:val="24"/>
        </w:rPr>
        <w:t>.)</w:t>
      </w:r>
    </w:p>
    <w:p w14:paraId="57595768" w14:textId="77777777" w:rsidR="000D3546" w:rsidRPr="00040451" w:rsidRDefault="000D3546" w:rsidP="000D354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97B096D" w14:textId="77777777" w:rsidR="00CF51A1" w:rsidRDefault="00CB04D1" w:rsidP="00CB04D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51A1" w:rsidRPr="00656855">
        <w:rPr>
          <w:rFonts w:ascii="Arial" w:hAnsi="Arial" w:cs="Arial"/>
          <w:sz w:val="24"/>
          <w:szCs w:val="24"/>
        </w:rPr>
        <w:t>Zakon o komunalnom gospodarstvu (˝Narodne novine˝</w:t>
      </w:r>
      <w:r w:rsidR="00CF3F24">
        <w:rPr>
          <w:rFonts w:ascii="Arial" w:hAnsi="Arial" w:cs="Arial"/>
          <w:sz w:val="24"/>
          <w:szCs w:val="24"/>
        </w:rPr>
        <w:t xml:space="preserve"> broj: </w:t>
      </w:r>
      <w:r w:rsidR="00CF51A1" w:rsidRPr="00656855">
        <w:rPr>
          <w:rFonts w:ascii="Arial" w:hAnsi="Arial" w:cs="Arial"/>
          <w:sz w:val="24"/>
          <w:szCs w:val="24"/>
        </w:rPr>
        <w:t>68/18., 110/18. i 32/20.)</w:t>
      </w:r>
    </w:p>
    <w:p w14:paraId="20254981" w14:textId="77777777" w:rsidR="00746AE8" w:rsidRDefault="00746AE8" w:rsidP="00CB04D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5181A876" w14:textId="77777777" w:rsidR="00746AE8" w:rsidRDefault="00746AE8" w:rsidP="00CB04D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628A575" w14:textId="77777777" w:rsidR="00746AE8" w:rsidRPr="00656855" w:rsidRDefault="00746AE8" w:rsidP="00CB04D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0607D9B" w14:textId="77777777" w:rsidR="00CF51A1" w:rsidRPr="00656855" w:rsidRDefault="00CF51A1" w:rsidP="00734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BF5FC6" w14:textId="77777777" w:rsidR="000D3546" w:rsidRDefault="00CF51A1" w:rsidP="000D354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bCs/>
          <w:sz w:val="24"/>
          <w:szCs w:val="24"/>
        </w:rPr>
        <w:lastRenderedPageBreak/>
        <w:t>OPĆINSKE ODLUKE</w:t>
      </w:r>
    </w:p>
    <w:p w14:paraId="28CA1F2D" w14:textId="77777777" w:rsidR="000D3546" w:rsidRPr="000D3546" w:rsidRDefault="000D3546" w:rsidP="000D354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D1AB891" w14:textId="77777777" w:rsidR="000D3546" w:rsidRPr="006E7EEB" w:rsidRDefault="00CF51A1" w:rsidP="000D3546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E7EEB">
        <w:rPr>
          <w:rFonts w:ascii="Arial" w:hAnsi="Arial" w:cs="Arial"/>
          <w:sz w:val="24"/>
          <w:szCs w:val="24"/>
        </w:rPr>
        <w:t xml:space="preserve">1. Statut Općine Vinodolske općine </w:t>
      </w:r>
      <w:r w:rsidR="000D3546" w:rsidRPr="006E7EEB">
        <w:rPr>
          <w:rFonts w:ascii="Arial" w:hAnsi="Arial" w:cs="Arial"/>
          <w:color w:val="000000"/>
          <w:sz w:val="24"/>
          <w:szCs w:val="24"/>
        </w:rPr>
        <w:t>(„Službene novine Primorsko-goranske županije“ broj: 40/09., 15/13., 30/13.-pročišćeni tekst, 7/18., 2/19., 13/20., 41/20.-pročišćeni tekst i 8/21.)</w:t>
      </w:r>
    </w:p>
    <w:p w14:paraId="35278DDC" w14:textId="77777777" w:rsidR="00CF51A1" w:rsidRPr="006E7EEB" w:rsidRDefault="00CF51A1" w:rsidP="000D354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E7EEB">
        <w:rPr>
          <w:rFonts w:ascii="Arial" w:hAnsi="Arial" w:cs="Arial"/>
          <w:sz w:val="24"/>
          <w:szCs w:val="24"/>
        </w:rPr>
        <w:t xml:space="preserve">2. Odluka o komunalnom </w:t>
      </w:r>
      <w:r w:rsidR="00592DB5" w:rsidRPr="006E7EEB">
        <w:rPr>
          <w:rFonts w:ascii="Arial" w:hAnsi="Arial" w:cs="Arial"/>
          <w:sz w:val="24"/>
          <w:szCs w:val="24"/>
        </w:rPr>
        <w:t xml:space="preserve">redu </w:t>
      </w:r>
      <w:r w:rsidRPr="006E7EEB">
        <w:rPr>
          <w:rFonts w:ascii="Arial" w:hAnsi="Arial" w:cs="Arial"/>
          <w:sz w:val="24"/>
          <w:szCs w:val="24"/>
        </w:rPr>
        <w:t>(„Službene novine Primorsko – goranske županije“ broj</w:t>
      </w:r>
      <w:r w:rsidR="000D3546" w:rsidRPr="006E7EEB">
        <w:rPr>
          <w:rFonts w:ascii="Arial" w:hAnsi="Arial" w:cs="Arial"/>
          <w:sz w:val="24"/>
          <w:szCs w:val="24"/>
        </w:rPr>
        <w:t>:</w:t>
      </w:r>
      <w:r w:rsidRPr="006E7EEB">
        <w:rPr>
          <w:rFonts w:ascii="Arial" w:hAnsi="Arial" w:cs="Arial"/>
          <w:sz w:val="24"/>
          <w:szCs w:val="24"/>
        </w:rPr>
        <w:t xml:space="preserve"> </w:t>
      </w:r>
      <w:r w:rsidR="00592DB5" w:rsidRPr="006E7EEB">
        <w:rPr>
          <w:rFonts w:ascii="Arial" w:hAnsi="Arial" w:cs="Arial"/>
          <w:sz w:val="24"/>
          <w:szCs w:val="24"/>
        </w:rPr>
        <w:t>25/19</w:t>
      </w:r>
      <w:r w:rsidR="00AE4CED" w:rsidRPr="006E7EEB">
        <w:rPr>
          <w:rFonts w:ascii="Arial" w:hAnsi="Arial" w:cs="Arial"/>
          <w:sz w:val="24"/>
          <w:szCs w:val="24"/>
        </w:rPr>
        <w:t>.)</w:t>
      </w:r>
    </w:p>
    <w:p w14:paraId="4979FC13" w14:textId="77777777" w:rsidR="00117680" w:rsidRPr="006E7EEB" w:rsidRDefault="00117680" w:rsidP="000D354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7C845DC" w14:textId="77777777" w:rsidR="00117680" w:rsidRPr="006E7EEB" w:rsidRDefault="00E645E0" w:rsidP="0011768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E7EEB">
        <w:rPr>
          <w:rFonts w:ascii="Arial" w:hAnsi="Arial" w:cs="Arial"/>
          <w:bCs/>
          <w:sz w:val="24"/>
          <w:szCs w:val="24"/>
        </w:rPr>
        <w:t>3. Odluka</w:t>
      </w:r>
      <w:r w:rsidRPr="006E7EEB">
        <w:rPr>
          <w:rFonts w:ascii="Arial" w:hAnsi="Arial" w:cs="Arial"/>
          <w:b/>
          <w:sz w:val="24"/>
          <w:szCs w:val="24"/>
        </w:rPr>
        <w:t xml:space="preserve"> </w:t>
      </w:r>
      <w:r w:rsidRPr="006E7EEB">
        <w:rPr>
          <w:rFonts w:ascii="Arial" w:hAnsi="Arial" w:cs="Arial"/>
          <w:sz w:val="24"/>
          <w:szCs w:val="24"/>
        </w:rPr>
        <w:t>o agrotehničkim mjerama u poljoprivredi te mjerama za uređivanje i održavanje poljoprivrednih rudina na području Općine Vinodolske općine</w:t>
      </w:r>
      <w:r w:rsidR="00290861" w:rsidRPr="006E7EEB">
        <w:rPr>
          <w:rFonts w:ascii="Arial" w:hAnsi="Arial" w:cs="Arial"/>
          <w:sz w:val="24"/>
          <w:szCs w:val="24"/>
        </w:rPr>
        <w:t xml:space="preserve"> </w:t>
      </w:r>
      <w:r w:rsidR="00117680" w:rsidRPr="006E7EEB">
        <w:rPr>
          <w:rFonts w:ascii="Arial" w:hAnsi="Arial" w:cs="Arial"/>
          <w:sz w:val="24"/>
          <w:szCs w:val="24"/>
        </w:rPr>
        <w:t>(„Službene novine Primorsko – goranske županije“ broj: 25/23.)</w:t>
      </w:r>
    </w:p>
    <w:p w14:paraId="092CE46A" w14:textId="77777777" w:rsidR="00E645E0" w:rsidRPr="006E7EEB" w:rsidRDefault="00E645E0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4361AB" w14:textId="77777777" w:rsidR="00D60050" w:rsidRPr="00656855" w:rsidRDefault="00E14BFE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PRAVILA TESTIRANJA </w:t>
      </w:r>
    </w:p>
    <w:p w14:paraId="2606A893" w14:textId="77777777" w:rsidR="00E14BFE" w:rsidRPr="00656855" w:rsidRDefault="00E14BFE" w:rsidP="00724766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56855">
        <w:rPr>
          <w:rFonts w:ascii="Arial" w:hAnsi="Arial" w:cs="Arial"/>
          <w:sz w:val="24"/>
          <w:szCs w:val="24"/>
        </w:rPr>
        <w:t xml:space="preserve"> </w:t>
      </w:r>
    </w:p>
    <w:p w14:paraId="687DE5D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1. Po dolasku na testiranje od kandidata će biti zatražena odgovarajuća identifikacijska isprava radi utvrđivanja identiteta (osobna iskaznica, putovnica). Na pisano testiranje potrebno je donijeti kemijsku olovku. </w:t>
      </w:r>
    </w:p>
    <w:p w14:paraId="40E8670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Z</w:t>
      </w:r>
      <w:r w:rsidRPr="000340E5">
        <w:rPr>
          <w:rFonts w:ascii="Arial" w:hAnsi="Arial" w:cs="Arial"/>
          <w:sz w:val="24"/>
          <w:szCs w:val="24"/>
        </w:rPr>
        <w:t>a vrijeme provjere znanja i sposobnosti nije dopušteno: korištenje literature, bilježaka, mobitela, napuštati prostorije u kojoj se obavlja provjera, razgovarati ili na drugi način ometati ostale kandidate.</w:t>
      </w:r>
    </w:p>
    <w:p w14:paraId="2EC4D77A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N</w:t>
      </w:r>
      <w:r w:rsidRPr="000340E5">
        <w:rPr>
          <w:rFonts w:ascii="Arial" w:hAnsi="Arial" w:cs="Arial"/>
          <w:sz w:val="24"/>
          <w:szCs w:val="24"/>
        </w:rPr>
        <w:t>akon uvodnih radnji, započinje testiranje na način da će kandidatima biti podijeljena pitanja za provjeru znanja i sposobnosti za obavljanje poslova radnog mjesta za kojeg se kandidat</w:t>
      </w:r>
      <w:r w:rsidR="00734831">
        <w:rPr>
          <w:rFonts w:ascii="Arial" w:hAnsi="Arial" w:cs="Arial"/>
          <w:sz w:val="24"/>
          <w:szCs w:val="24"/>
        </w:rPr>
        <w:t xml:space="preserve">/kandidatkinja </w:t>
      </w:r>
      <w:r w:rsidRPr="000340E5">
        <w:rPr>
          <w:rFonts w:ascii="Arial" w:hAnsi="Arial" w:cs="Arial"/>
          <w:sz w:val="24"/>
          <w:szCs w:val="24"/>
        </w:rPr>
        <w:t>prijavljuje. Pisano testiranje traje 45 minuta.</w:t>
      </w:r>
    </w:p>
    <w:p w14:paraId="508B20B0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 Z</w:t>
      </w:r>
      <w:r w:rsidRPr="000340E5">
        <w:rPr>
          <w:rFonts w:ascii="Arial" w:hAnsi="Arial" w:cs="Arial"/>
          <w:sz w:val="24"/>
          <w:szCs w:val="24"/>
        </w:rPr>
        <w:t>a provjeru znanja i sposobnosti testiranjem dodjeljuje se od 1 do 10 bodova</w:t>
      </w:r>
    </w:p>
    <w:p w14:paraId="0471D0B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P</w:t>
      </w:r>
      <w:r w:rsidRPr="000340E5">
        <w:rPr>
          <w:rFonts w:ascii="Arial" w:hAnsi="Arial" w:cs="Arial"/>
          <w:sz w:val="24"/>
          <w:szCs w:val="24"/>
        </w:rPr>
        <w:t>isani test sastoj</w:t>
      </w:r>
      <w:r>
        <w:rPr>
          <w:rFonts w:ascii="Arial" w:hAnsi="Arial" w:cs="Arial"/>
          <w:sz w:val="24"/>
          <w:szCs w:val="24"/>
        </w:rPr>
        <w:t>i se</w:t>
      </w:r>
      <w:r w:rsidRPr="000340E5">
        <w:rPr>
          <w:rFonts w:ascii="Arial" w:hAnsi="Arial" w:cs="Arial"/>
          <w:sz w:val="24"/>
          <w:szCs w:val="24"/>
        </w:rPr>
        <w:t xml:space="preserve"> od ukupno 20 pitanja. Broj točnih odgovora biti će podijeljen sa 2, što će</w:t>
      </w:r>
      <w:r>
        <w:rPr>
          <w:rFonts w:ascii="Arial" w:hAnsi="Arial" w:cs="Arial"/>
          <w:sz w:val="24"/>
          <w:szCs w:val="24"/>
        </w:rPr>
        <w:t xml:space="preserve">, </w:t>
      </w:r>
      <w:r w:rsidRPr="000340E5">
        <w:rPr>
          <w:rFonts w:ascii="Arial" w:hAnsi="Arial" w:cs="Arial"/>
          <w:sz w:val="24"/>
          <w:szCs w:val="24"/>
        </w:rPr>
        <w:t>zaokruženo na jednu decimalu</w:t>
      </w:r>
      <w:r>
        <w:rPr>
          <w:rFonts w:ascii="Arial" w:hAnsi="Arial" w:cs="Arial"/>
          <w:sz w:val="24"/>
          <w:szCs w:val="24"/>
        </w:rPr>
        <w:t>,</w:t>
      </w:r>
      <w:r w:rsidRPr="000340E5">
        <w:rPr>
          <w:rFonts w:ascii="Arial" w:hAnsi="Arial" w:cs="Arial"/>
          <w:sz w:val="24"/>
          <w:szCs w:val="24"/>
        </w:rPr>
        <w:t xml:space="preserve"> dati broj bodova na pisanoj provjeri. Maksimalan broj bodova koji kandidati/kandidatkinje mogu ostvariti je 10 bodova.</w:t>
      </w:r>
    </w:p>
    <w:p w14:paraId="1D60A89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6. </w:t>
      </w:r>
      <w:r w:rsidR="00290861">
        <w:rPr>
          <w:rFonts w:ascii="Arial" w:hAnsi="Arial" w:cs="Arial"/>
          <w:sz w:val="24"/>
          <w:szCs w:val="24"/>
        </w:rPr>
        <w:t>S</w:t>
      </w:r>
      <w:r w:rsidRPr="000340E5">
        <w:rPr>
          <w:rFonts w:ascii="Arial" w:hAnsi="Arial" w:cs="Arial"/>
          <w:sz w:val="24"/>
          <w:szCs w:val="24"/>
        </w:rPr>
        <w:t>matra se da su kandidati/kinje položili pisani test ako su ostvarili najmanje 50% bodova na provedenom testiranju.</w:t>
      </w:r>
    </w:p>
    <w:p w14:paraId="2031685A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7D0BF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40E5">
        <w:rPr>
          <w:rFonts w:ascii="Arial" w:hAnsi="Arial" w:cs="Arial"/>
          <w:b/>
          <w:sz w:val="24"/>
          <w:szCs w:val="24"/>
        </w:rPr>
        <w:t>B: INTERVJU</w:t>
      </w:r>
      <w:r>
        <w:rPr>
          <w:rFonts w:ascii="Arial" w:hAnsi="Arial" w:cs="Arial"/>
          <w:b/>
          <w:sz w:val="24"/>
          <w:szCs w:val="24"/>
        </w:rPr>
        <w:t xml:space="preserve"> (RAZGOVOR)</w:t>
      </w:r>
    </w:p>
    <w:p w14:paraId="32405F8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9D168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I</w:t>
      </w:r>
      <w:r w:rsidRPr="000340E5">
        <w:rPr>
          <w:rFonts w:ascii="Arial" w:hAnsi="Arial" w:cs="Arial"/>
          <w:sz w:val="24"/>
          <w:szCs w:val="24"/>
        </w:rPr>
        <w:t>ntervju (razgovor) se provodi samo s onim kandidatima koji su ostvarili 50% i više broja bodova na testiranju.</w:t>
      </w:r>
    </w:p>
    <w:p w14:paraId="277729F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2. Povjerenstvo za provedbu </w:t>
      </w:r>
      <w:r>
        <w:rPr>
          <w:rFonts w:ascii="Arial" w:hAnsi="Arial" w:cs="Arial"/>
          <w:sz w:val="24"/>
          <w:szCs w:val="24"/>
        </w:rPr>
        <w:t xml:space="preserve">oglasa </w:t>
      </w:r>
      <w:r w:rsidRPr="000340E5">
        <w:rPr>
          <w:rFonts w:ascii="Arial" w:hAnsi="Arial" w:cs="Arial"/>
          <w:sz w:val="24"/>
          <w:szCs w:val="24"/>
        </w:rPr>
        <w:t>kroz intervju (razgovor) sa kandidatima utvrđuje interese, komunikativnost, kreativnost, profesionalne ciljeve i motivaciju kandidata za rad u Općini Vinodolskoj općini.</w:t>
      </w:r>
    </w:p>
    <w:p w14:paraId="2192B809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R</w:t>
      </w:r>
      <w:r w:rsidRPr="000340E5">
        <w:rPr>
          <w:rFonts w:ascii="Arial" w:hAnsi="Arial" w:cs="Arial"/>
          <w:sz w:val="24"/>
          <w:szCs w:val="24"/>
        </w:rPr>
        <w:t xml:space="preserve">ezultati intervjua </w:t>
      </w:r>
      <w:r>
        <w:rPr>
          <w:rFonts w:ascii="Arial" w:hAnsi="Arial" w:cs="Arial"/>
          <w:sz w:val="24"/>
          <w:szCs w:val="24"/>
        </w:rPr>
        <w:t xml:space="preserve">(razgovora) </w:t>
      </w:r>
      <w:r w:rsidRPr="000340E5">
        <w:rPr>
          <w:rFonts w:ascii="Arial" w:hAnsi="Arial" w:cs="Arial"/>
          <w:sz w:val="24"/>
          <w:szCs w:val="24"/>
        </w:rPr>
        <w:t>boduju se od 1 do</w:t>
      </w:r>
      <w:r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10.</w:t>
      </w:r>
    </w:p>
    <w:p w14:paraId="14AB050B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ED2D51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Nakon prethodne provjere znanja i sposobnosti kandidata, Povjerenstvo za provedbu </w:t>
      </w:r>
      <w:r>
        <w:rPr>
          <w:rFonts w:ascii="Arial" w:hAnsi="Arial" w:cs="Arial"/>
          <w:sz w:val="24"/>
          <w:szCs w:val="24"/>
        </w:rPr>
        <w:t>oglasa</w:t>
      </w:r>
      <w:r w:rsidRPr="000340E5">
        <w:rPr>
          <w:rFonts w:ascii="Arial" w:hAnsi="Arial" w:cs="Arial"/>
          <w:sz w:val="24"/>
          <w:szCs w:val="24"/>
        </w:rPr>
        <w:t xml:space="preserve"> utvrđuje rang listu kandidata prema ukupnom broju ostvarenih bodova temeljem pisanog testiranja i intervjua (razgovora). Izvješće o provedenom postupku i rang</w:t>
      </w:r>
      <w:r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listu kandidata Povjerenstvo dostavlja pročelniku Jedinstvenog upravnog odjela.</w:t>
      </w:r>
    </w:p>
    <w:p w14:paraId="48F070B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Izabrani kandidat, po obavijesti o izboru, dostavlja uvjerenje o zdravstvenoj sposobnosti za obavljanje poslova radnog mjesta.</w:t>
      </w:r>
    </w:p>
    <w:p w14:paraId="4B20F2B9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C7FAB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Ukupan broj bodova koje kandidati mogu ostvariti na pisanom testiranju i intervjuu (razgovoru) je 20 bodova. </w:t>
      </w:r>
    </w:p>
    <w:p w14:paraId="5C8AA281" w14:textId="77777777" w:rsidR="00E14BFE" w:rsidRPr="00656855" w:rsidRDefault="00E14BFE" w:rsidP="00677651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lastRenderedPageBreak/>
        <w:t xml:space="preserve">OSTALE INFORMACIJE VEZANE UZ </w:t>
      </w:r>
      <w:r w:rsidR="00C12495">
        <w:rPr>
          <w:rFonts w:ascii="Arial" w:hAnsi="Arial" w:cs="Arial"/>
          <w:b/>
          <w:sz w:val="24"/>
          <w:szCs w:val="24"/>
        </w:rPr>
        <w:t xml:space="preserve">NATJEČAJNI POSTUPAK - </w:t>
      </w:r>
      <w:r w:rsidR="00881286" w:rsidRPr="00656855">
        <w:rPr>
          <w:rFonts w:ascii="Arial" w:hAnsi="Arial" w:cs="Arial"/>
          <w:b/>
          <w:sz w:val="24"/>
          <w:szCs w:val="24"/>
        </w:rPr>
        <w:t>OGLAS</w:t>
      </w:r>
    </w:p>
    <w:p w14:paraId="4D891178" w14:textId="77777777" w:rsidR="00E14BFE" w:rsidRPr="00656855" w:rsidRDefault="00E14BFE" w:rsidP="00E14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7003EF" w14:textId="77777777" w:rsidR="00E14BFE" w:rsidRPr="00656855" w:rsidRDefault="004F411F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Mole se  podnositelji</w:t>
      </w:r>
      <w:r w:rsidR="00E14BFE" w:rsidRPr="00656855">
        <w:rPr>
          <w:rFonts w:ascii="Arial" w:hAnsi="Arial" w:cs="Arial"/>
          <w:sz w:val="24"/>
          <w:szCs w:val="24"/>
        </w:rPr>
        <w:t xml:space="preserve"> da u prijavi navedu broj fiksnoga i/ili mobilnoga telefona na koje u slučaju potrebe možemo nazvati tijekom natječajnog postupka.</w:t>
      </w:r>
    </w:p>
    <w:p w14:paraId="4A53AB69" w14:textId="77777777" w:rsidR="00C32C68" w:rsidRPr="00656855" w:rsidRDefault="00C32C68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3AED8" w14:textId="77777777" w:rsidR="00CB04D1" w:rsidRDefault="00E14BFE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Također molimo podnositelje da u prijavi prilože sve isprave naznačene u </w:t>
      </w:r>
      <w:r w:rsidR="00CB04D1">
        <w:rPr>
          <w:rFonts w:ascii="Arial" w:hAnsi="Arial" w:cs="Arial"/>
          <w:sz w:val="24"/>
          <w:szCs w:val="24"/>
        </w:rPr>
        <w:t>oglasu</w:t>
      </w:r>
      <w:r w:rsidRPr="00656855">
        <w:rPr>
          <w:rFonts w:ascii="Arial" w:hAnsi="Arial" w:cs="Arial"/>
          <w:sz w:val="24"/>
          <w:szCs w:val="24"/>
        </w:rPr>
        <w:t xml:space="preserve"> i to</w:t>
      </w:r>
      <w:r w:rsidR="00881286" w:rsidRPr="00656855">
        <w:rPr>
          <w:rFonts w:ascii="Arial" w:hAnsi="Arial" w:cs="Arial"/>
          <w:sz w:val="24"/>
          <w:szCs w:val="24"/>
        </w:rPr>
        <w:t xml:space="preserve"> u obliku navedenom u oglasu</w:t>
      </w:r>
      <w:r w:rsidRPr="00656855">
        <w:rPr>
          <w:rFonts w:ascii="Arial" w:hAnsi="Arial" w:cs="Arial"/>
          <w:sz w:val="24"/>
          <w:szCs w:val="24"/>
        </w:rPr>
        <w:t xml:space="preserve"> jer </w:t>
      </w:r>
      <w:r w:rsidR="00290861">
        <w:rPr>
          <w:rFonts w:ascii="Arial" w:hAnsi="Arial" w:cs="Arial"/>
          <w:sz w:val="24"/>
          <w:szCs w:val="24"/>
        </w:rPr>
        <w:t xml:space="preserve">se </w:t>
      </w:r>
      <w:r w:rsidRPr="00656855">
        <w:rPr>
          <w:rFonts w:ascii="Arial" w:hAnsi="Arial" w:cs="Arial"/>
          <w:sz w:val="24"/>
          <w:szCs w:val="24"/>
        </w:rPr>
        <w:t>osoba koje ne podnese pravodobnu i urednu prijavu ili</w:t>
      </w:r>
      <w:r w:rsidR="00290861">
        <w:rPr>
          <w:rFonts w:ascii="Arial" w:hAnsi="Arial" w:cs="Arial"/>
          <w:sz w:val="24"/>
          <w:szCs w:val="24"/>
        </w:rPr>
        <w:t xml:space="preserve"> </w:t>
      </w:r>
      <w:r w:rsidRPr="00656855">
        <w:rPr>
          <w:rFonts w:ascii="Arial" w:hAnsi="Arial" w:cs="Arial"/>
          <w:sz w:val="24"/>
          <w:szCs w:val="24"/>
        </w:rPr>
        <w:t>ne is</w:t>
      </w:r>
      <w:r w:rsidR="00C32C68" w:rsidRPr="00656855">
        <w:rPr>
          <w:rFonts w:ascii="Arial" w:hAnsi="Arial" w:cs="Arial"/>
          <w:sz w:val="24"/>
          <w:szCs w:val="24"/>
        </w:rPr>
        <w:t>punjava formalne uvjete iz oglasa</w:t>
      </w:r>
      <w:r w:rsidRPr="00656855">
        <w:rPr>
          <w:rFonts w:ascii="Arial" w:hAnsi="Arial" w:cs="Arial"/>
          <w:sz w:val="24"/>
          <w:szCs w:val="24"/>
        </w:rPr>
        <w:t xml:space="preserve"> neće smatrati kandidato</w:t>
      </w:r>
      <w:r w:rsidR="00881286" w:rsidRPr="00656855">
        <w:rPr>
          <w:rFonts w:ascii="Arial" w:hAnsi="Arial" w:cs="Arial"/>
          <w:sz w:val="24"/>
          <w:szCs w:val="24"/>
        </w:rPr>
        <w:t>m prijavljenim na oglas</w:t>
      </w:r>
      <w:r w:rsidRPr="00656855">
        <w:rPr>
          <w:rFonts w:ascii="Arial" w:hAnsi="Arial" w:cs="Arial"/>
          <w:sz w:val="24"/>
          <w:szCs w:val="24"/>
        </w:rPr>
        <w:t xml:space="preserve">. </w:t>
      </w:r>
    </w:p>
    <w:p w14:paraId="67B743D2" w14:textId="77777777" w:rsidR="00290861" w:rsidRDefault="00290861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1C7B2" w14:textId="77777777" w:rsidR="00E14BFE" w:rsidRPr="00656855" w:rsidRDefault="00E14BFE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Zainteresiranim osobama koje ne ispunjavaju sve formalne uvjete za prijam u službu navedene u </w:t>
      </w:r>
      <w:r w:rsidR="00C12495">
        <w:rPr>
          <w:rFonts w:ascii="Arial" w:hAnsi="Arial" w:cs="Arial"/>
          <w:sz w:val="24"/>
          <w:szCs w:val="24"/>
        </w:rPr>
        <w:t>oglasu</w:t>
      </w:r>
      <w:r w:rsidRPr="00656855">
        <w:rPr>
          <w:rFonts w:ascii="Arial" w:hAnsi="Arial" w:cs="Arial"/>
          <w:sz w:val="24"/>
          <w:szCs w:val="24"/>
        </w:rPr>
        <w:t xml:space="preserve"> predlažemo da ne podnose prijavu, jer neće moći pristupiti prethodnoj provjeri znanja i sposobnosti, niti </w:t>
      </w:r>
      <w:r w:rsidR="00C12495">
        <w:rPr>
          <w:rFonts w:ascii="Arial" w:hAnsi="Arial" w:cs="Arial"/>
          <w:sz w:val="24"/>
          <w:szCs w:val="24"/>
        </w:rPr>
        <w:t xml:space="preserve">će biti u </w:t>
      </w:r>
      <w:r w:rsidRPr="00656855">
        <w:rPr>
          <w:rFonts w:ascii="Arial" w:hAnsi="Arial" w:cs="Arial"/>
          <w:sz w:val="24"/>
          <w:szCs w:val="24"/>
        </w:rPr>
        <w:t xml:space="preserve">mogućnosti da budu primljeni u službu. </w:t>
      </w:r>
    </w:p>
    <w:p w14:paraId="4B46F3E5" w14:textId="77777777" w:rsidR="00CB04D1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77852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Kandidat/</w:t>
      </w:r>
      <w:r w:rsidR="00734831">
        <w:rPr>
          <w:rFonts w:ascii="Arial" w:hAnsi="Arial" w:cs="Arial"/>
          <w:sz w:val="24"/>
          <w:szCs w:val="24"/>
        </w:rPr>
        <w:t>kandidatkinja</w:t>
      </w:r>
      <w:r w:rsidRPr="000340E5">
        <w:rPr>
          <w:rFonts w:ascii="Arial" w:hAnsi="Arial" w:cs="Arial"/>
          <w:sz w:val="24"/>
          <w:szCs w:val="24"/>
        </w:rPr>
        <w:t xml:space="preserve"> može tijekom natječajnog postupka pisanim putem povući prijavu. </w:t>
      </w:r>
    </w:p>
    <w:p w14:paraId="459FE3B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FBC1F" w14:textId="77777777" w:rsidR="00CB04D1" w:rsidRPr="000340E5" w:rsidRDefault="0073483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Kandidat/</w:t>
      </w:r>
      <w:r>
        <w:rPr>
          <w:rFonts w:ascii="Arial" w:hAnsi="Arial" w:cs="Arial"/>
          <w:sz w:val="24"/>
          <w:szCs w:val="24"/>
        </w:rPr>
        <w:t>kandidatkinja</w:t>
      </w:r>
      <w:r w:rsidR="00CB04D1" w:rsidRPr="000340E5">
        <w:rPr>
          <w:rFonts w:ascii="Arial" w:hAnsi="Arial" w:cs="Arial"/>
          <w:sz w:val="24"/>
          <w:szCs w:val="24"/>
        </w:rPr>
        <w:t xml:space="preserve"> koji</w:t>
      </w:r>
      <w:r>
        <w:rPr>
          <w:rFonts w:ascii="Arial" w:hAnsi="Arial" w:cs="Arial"/>
          <w:sz w:val="24"/>
          <w:szCs w:val="24"/>
        </w:rPr>
        <w:t xml:space="preserve">/koja </w:t>
      </w:r>
      <w:r w:rsidR="00CB04D1" w:rsidRPr="000340E5">
        <w:rPr>
          <w:rFonts w:ascii="Arial" w:hAnsi="Arial" w:cs="Arial"/>
          <w:sz w:val="24"/>
          <w:szCs w:val="24"/>
        </w:rPr>
        <w:t xml:space="preserve">ne pristupi prethodnoj provjeri znanja smatrat će se da je povukao prijavu na </w:t>
      </w:r>
      <w:r w:rsidR="00C12495">
        <w:rPr>
          <w:rFonts w:ascii="Arial" w:hAnsi="Arial" w:cs="Arial"/>
          <w:sz w:val="24"/>
          <w:szCs w:val="24"/>
        </w:rPr>
        <w:t>oglas</w:t>
      </w:r>
      <w:r w:rsidR="00CB04D1" w:rsidRPr="000340E5">
        <w:rPr>
          <w:rFonts w:ascii="Arial" w:hAnsi="Arial" w:cs="Arial"/>
          <w:sz w:val="24"/>
          <w:szCs w:val="24"/>
        </w:rPr>
        <w:t>.</w:t>
      </w:r>
    </w:p>
    <w:p w14:paraId="0510C689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9D1E01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Eventualne dodatne upite možete poslati putem elektroničke pošte, na adresu: </w:t>
      </w:r>
      <w:hyperlink r:id="rId5" w:history="1">
        <w:r w:rsidR="00C12495" w:rsidRPr="003708B9">
          <w:rPr>
            <w:rStyle w:val="Hiperveza"/>
            <w:rFonts w:ascii="Arial" w:hAnsi="Arial" w:cs="Arial"/>
            <w:sz w:val="24"/>
            <w:szCs w:val="24"/>
          </w:rPr>
          <w:t>ana.tomasek@vinodol.hr</w:t>
        </w:r>
      </w:hyperlink>
    </w:p>
    <w:p w14:paraId="7994FAF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6C66BD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0340E5">
        <w:rPr>
          <w:rFonts w:ascii="Arial" w:hAnsi="Arial" w:cs="Arial"/>
          <w:sz w:val="24"/>
          <w:szCs w:val="24"/>
        </w:rPr>
        <w:t>U Zakonu o službenicima i namještenicima u lokalnoj i područno</w:t>
      </w:r>
      <w:r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j(regionalnoj) samoupravi („Narodne novine“ broj: 86/08., 61/11., 4/18. i 112/19.) možete pročitati na koji je način uređen natječajni postupak.</w:t>
      </w:r>
    </w:p>
    <w:p w14:paraId="50AE437D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002A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Vrijeme održavanja prethodne provjere znanja i sposobnosti kandidata bit će objavljeno na ovoj web</w:t>
      </w:r>
      <w:r w:rsidR="00C12495"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stranici (www.vinodol.hr) te na oglasnoj ploči Općine Vinodolske općine, najkasnije pet dana prije održavanja provjere.</w:t>
      </w:r>
    </w:p>
    <w:p w14:paraId="26529E41" w14:textId="77777777" w:rsidR="00CF3F24" w:rsidRPr="0067600A" w:rsidRDefault="00CB04D1" w:rsidP="0067600A">
      <w:pPr>
        <w:spacing w:after="0"/>
        <w:rPr>
          <w:rFonts w:ascii="Arial" w:hAnsi="Arial" w:cs="Arial"/>
          <w:sz w:val="24"/>
          <w:szCs w:val="24"/>
        </w:rPr>
      </w:pPr>
      <w:r w:rsidRPr="0067600A">
        <w:rPr>
          <w:rFonts w:ascii="Arial" w:hAnsi="Arial" w:cs="Arial"/>
          <w:sz w:val="24"/>
          <w:szCs w:val="24"/>
        </w:rPr>
        <w:t xml:space="preserve"> </w:t>
      </w:r>
    </w:p>
    <w:p w14:paraId="251CA579" w14:textId="77777777" w:rsidR="0067600A" w:rsidRDefault="0067600A" w:rsidP="0067600A">
      <w:pPr>
        <w:spacing w:after="0"/>
        <w:rPr>
          <w:rFonts w:ascii="Arial" w:hAnsi="Arial" w:cs="Arial"/>
          <w:kern w:val="2"/>
          <w:sz w:val="24"/>
          <w:szCs w:val="24"/>
        </w:rPr>
      </w:pPr>
    </w:p>
    <w:p w14:paraId="459A5CCE" w14:textId="5B3F43E6" w:rsidR="0067600A" w:rsidRPr="0067600A" w:rsidRDefault="0067600A" w:rsidP="0067600A">
      <w:pPr>
        <w:spacing w:after="0"/>
        <w:rPr>
          <w:rFonts w:ascii="Arial" w:hAnsi="Arial" w:cs="Arial"/>
          <w:kern w:val="2"/>
          <w:sz w:val="24"/>
          <w:szCs w:val="24"/>
        </w:rPr>
      </w:pPr>
      <w:r w:rsidRPr="0067600A">
        <w:rPr>
          <w:rFonts w:ascii="Arial" w:hAnsi="Arial" w:cs="Arial"/>
          <w:kern w:val="2"/>
          <w:sz w:val="24"/>
          <w:szCs w:val="24"/>
        </w:rPr>
        <w:t>KLASA: 112-01/24-01/9</w:t>
      </w:r>
    </w:p>
    <w:p w14:paraId="4DE721FA" w14:textId="77777777" w:rsidR="0067600A" w:rsidRPr="0067600A" w:rsidRDefault="0067600A" w:rsidP="0067600A">
      <w:pPr>
        <w:spacing w:after="0"/>
        <w:rPr>
          <w:rFonts w:ascii="Arial" w:hAnsi="Arial" w:cs="Arial"/>
          <w:sz w:val="24"/>
          <w:szCs w:val="24"/>
        </w:rPr>
      </w:pPr>
      <w:r w:rsidRPr="0067600A">
        <w:rPr>
          <w:rFonts w:ascii="Arial" w:hAnsi="Arial" w:cs="Arial"/>
          <w:kern w:val="2"/>
          <w:sz w:val="24"/>
          <w:szCs w:val="24"/>
        </w:rPr>
        <w:t>URBROJ:</w:t>
      </w:r>
      <w:r w:rsidRPr="0067600A">
        <w:rPr>
          <w:rFonts w:ascii="Arial" w:hAnsi="Arial" w:cs="Arial"/>
          <w:sz w:val="24"/>
          <w:szCs w:val="24"/>
        </w:rPr>
        <w:t xml:space="preserve"> 2170-34-01-01-24-1</w:t>
      </w:r>
    </w:p>
    <w:p w14:paraId="348D7A47" w14:textId="77777777" w:rsidR="00D36B8D" w:rsidRPr="00657B85" w:rsidRDefault="00D36B8D" w:rsidP="00D36B8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298D148" w14:textId="4D6FC982" w:rsidR="00D36B8D" w:rsidRPr="0067600A" w:rsidRDefault="00D36B8D" w:rsidP="00D36B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00A">
        <w:rPr>
          <w:rFonts w:ascii="Arial" w:hAnsi="Arial" w:cs="Arial"/>
          <w:sz w:val="24"/>
          <w:szCs w:val="24"/>
        </w:rPr>
        <w:t xml:space="preserve">Bribir, </w:t>
      </w:r>
      <w:r w:rsidR="00657B85" w:rsidRPr="0067600A">
        <w:rPr>
          <w:rFonts w:ascii="Arial" w:hAnsi="Arial" w:cs="Arial"/>
          <w:sz w:val="24"/>
          <w:szCs w:val="24"/>
        </w:rPr>
        <w:t>29</w:t>
      </w:r>
      <w:r w:rsidRPr="0067600A">
        <w:rPr>
          <w:rFonts w:ascii="Arial" w:hAnsi="Arial" w:cs="Arial"/>
          <w:sz w:val="24"/>
          <w:szCs w:val="24"/>
        </w:rPr>
        <w:t xml:space="preserve">. </w:t>
      </w:r>
      <w:r w:rsidR="00657B85" w:rsidRPr="0067600A">
        <w:rPr>
          <w:rFonts w:ascii="Arial" w:hAnsi="Arial" w:cs="Arial"/>
          <w:sz w:val="24"/>
          <w:szCs w:val="24"/>
        </w:rPr>
        <w:t>travnja</w:t>
      </w:r>
      <w:r w:rsidRPr="0067600A">
        <w:rPr>
          <w:rFonts w:ascii="Arial" w:hAnsi="Arial" w:cs="Arial"/>
          <w:sz w:val="24"/>
          <w:szCs w:val="24"/>
        </w:rPr>
        <w:t xml:space="preserve"> 2024. </w:t>
      </w:r>
    </w:p>
    <w:p w14:paraId="2BA188AE" w14:textId="77777777" w:rsidR="00C32C68" w:rsidRPr="00656855" w:rsidRDefault="00DC7FCB" w:rsidP="00E14BFE">
      <w:pPr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6F0546A9" w14:textId="77777777" w:rsidR="00CF3F24" w:rsidRPr="000340E5" w:rsidRDefault="00DC7FCB" w:rsidP="00235AE5">
      <w:pPr>
        <w:jc w:val="right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 </w:t>
      </w:r>
    </w:p>
    <w:p w14:paraId="3874BE3A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B28238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3AA5AA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F24666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837026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F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33B"/>
    <w:multiLevelType w:val="hybridMultilevel"/>
    <w:tmpl w:val="F14EF90A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EC2097"/>
    <w:multiLevelType w:val="hybridMultilevel"/>
    <w:tmpl w:val="58D0C01C"/>
    <w:lvl w:ilvl="0" w:tplc="8DE2AAAE">
      <w:numFmt w:val="bullet"/>
      <w:lvlText w:val="-"/>
      <w:lvlJc w:val="left"/>
      <w:pPr>
        <w:ind w:left="324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E7476"/>
    <w:multiLevelType w:val="hybridMultilevel"/>
    <w:tmpl w:val="60726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6B81"/>
    <w:multiLevelType w:val="hybridMultilevel"/>
    <w:tmpl w:val="35BE0E9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4D7C015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900B4"/>
    <w:multiLevelType w:val="hybridMultilevel"/>
    <w:tmpl w:val="82209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91132"/>
    <w:multiLevelType w:val="hybridMultilevel"/>
    <w:tmpl w:val="9CD06A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60FFF"/>
    <w:multiLevelType w:val="hybridMultilevel"/>
    <w:tmpl w:val="2CECCA06"/>
    <w:lvl w:ilvl="0" w:tplc="953CB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2756"/>
    <w:multiLevelType w:val="hybridMultilevel"/>
    <w:tmpl w:val="A39E50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3916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30821">
    <w:abstractNumId w:val="0"/>
  </w:num>
  <w:num w:numId="3" w16cid:durableId="864650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45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411779">
    <w:abstractNumId w:val="7"/>
  </w:num>
  <w:num w:numId="6" w16cid:durableId="2043674671">
    <w:abstractNumId w:val="4"/>
  </w:num>
  <w:num w:numId="7" w16cid:durableId="663902462">
    <w:abstractNumId w:val="1"/>
  </w:num>
  <w:num w:numId="8" w16cid:durableId="1074863446">
    <w:abstractNumId w:val="0"/>
  </w:num>
  <w:num w:numId="9" w16cid:durableId="801190978">
    <w:abstractNumId w:val="3"/>
  </w:num>
  <w:num w:numId="10" w16cid:durableId="208567217">
    <w:abstractNumId w:val="2"/>
  </w:num>
  <w:num w:numId="11" w16cid:durableId="261108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BFE"/>
    <w:rsid w:val="00044CC4"/>
    <w:rsid w:val="0009356D"/>
    <w:rsid w:val="000A56B9"/>
    <w:rsid w:val="000D3546"/>
    <w:rsid w:val="000D5A44"/>
    <w:rsid w:val="000E6E4F"/>
    <w:rsid w:val="000F5D9A"/>
    <w:rsid w:val="00117680"/>
    <w:rsid w:val="00126718"/>
    <w:rsid w:val="00195E28"/>
    <w:rsid w:val="001B1140"/>
    <w:rsid w:val="001B4678"/>
    <w:rsid w:val="001D3C17"/>
    <w:rsid w:val="001F6732"/>
    <w:rsid w:val="00215714"/>
    <w:rsid w:val="00235AE5"/>
    <w:rsid w:val="00266D14"/>
    <w:rsid w:val="00290861"/>
    <w:rsid w:val="002A6C30"/>
    <w:rsid w:val="002C323A"/>
    <w:rsid w:val="00300589"/>
    <w:rsid w:val="00340B34"/>
    <w:rsid w:val="00347A75"/>
    <w:rsid w:val="0036431A"/>
    <w:rsid w:val="003743C7"/>
    <w:rsid w:val="00381E2D"/>
    <w:rsid w:val="003962D4"/>
    <w:rsid w:val="003D7C8E"/>
    <w:rsid w:val="00442B6E"/>
    <w:rsid w:val="004914AC"/>
    <w:rsid w:val="004F411F"/>
    <w:rsid w:val="004F7081"/>
    <w:rsid w:val="00515A98"/>
    <w:rsid w:val="005843B6"/>
    <w:rsid w:val="00592DB5"/>
    <w:rsid w:val="00616102"/>
    <w:rsid w:val="0063494D"/>
    <w:rsid w:val="0063638F"/>
    <w:rsid w:val="00656855"/>
    <w:rsid w:val="00657B85"/>
    <w:rsid w:val="00660A1A"/>
    <w:rsid w:val="0067600A"/>
    <w:rsid w:val="00677651"/>
    <w:rsid w:val="006A7229"/>
    <w:rsid w:val="006E7EEB"/>
    <w:rsid w:val="00724766"/>
    <w:rsid w:val="007317C9"/>
    <w:rsid w:val="00734831"/>
    <w:rsid w:val="00746AE8"/>
    <w:rsid w:val="007533E6"/>
    <w:rsid w:val="007B26C4"/>
    <w:rsid w:val="007D3635"/>
    <w:rsid w:val="007F093F"/>
    <w:rsid w:val="00803A37"/>
    <w:rsid w:val="008269C0"/>
    <w:rsid w:val="00881286"/>
    <w:rsid w:val="009652A7"/>
    <w:rsid w:val="00A042C7"/>
    <w:rsid w:val="00A06416"/>
    <w:rsid w:val="00A238B5"/>
    <w:rsid w:val="00A40AB8"/>
    <w:rsid w:val="00A56B37"/>
    <w:rsid w:val="00AE4CED"/>
    <w:rsid w:val="00B71DD0"/>
    <w:rsid w:val="00B734DA"/>
    <w:rsid w:val="00B76E0E"/>
    <w:rsid w:val="00B8059D"/>
    <w:rsid w:val="00B92460"/>
    <w:rsid w:val="00BA20BD"/>
    <w:rsid w:val="00BC3CB5"/>
    <w:rsid w:val="00BD094F"/>
    <w:rsid w:val="00BE029E"/>
    <w:rsid w:val="00C12495"/>
    <w:rsid w:val="00C32C68"/>
    <w:rsid w:val="00C826AA"/>
    <w:rsid w:val="00C84170"/>
    <w:rsid w:val="00CB04D1"/>
    <w:rsid w:val="00CF3F24"/>
    <w:rsid w:val="00CF51A1"/>
    <w:rsid w:val="00CF7ADC"/>
    <w:rsid w:val="00D36B8D"/>
    <w:rsid w:val="00D43D6C"/>
    <w:rsid w:val="00D60050"/>
    <w:rsid w:val="00DC7FCB"/>
    <w:rsid w:val="00DE0906"/>
    <w:rsid w:val="00DE2849"/>
    <w:rsid w:val="00E05015"/>
    <w:rsid w:val="00E11A6D"/>
    <w:rsid w:val="00E14BFE"/>
    <w:rsid w:val="00E27197"/>
    <w:rsid w:val="00E645E0"/>
    <w:rsid w:val="00E85922"/>
    <w:rsid w:val="00ED2962"/>
    <w:rsid w:val="00F822ED"/>
    <w:rsid w:val="00F94B95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C0F77"/>
  <w15:chartTrackingRefBased/>
  <w15:docId w15:val="{E18AD92D-88E2-465C-AEB2-5F71AE94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CE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14BFE"/>
    <w:pPr>
      <w:ind w:left="720"/>
      <w:contextualSpacing/>
    </w:pPr>
  </w:style>
  <w:style w:type="character" w:styleId="Hiperveza">
    <w:name w:val="Hyperlink"/>
    <w:rsid w:val="004F411F"/>
    <w:rPr>
      <w:color w:val="0000FF"/>
      <w:u w:val="single"/>
    </w:rPr>
  </w:style>
  <w:style w:type="paragraph" w:customStyle="1" w:styleId="Odlomakpopisa1">
    <w:name w:val="Odlomak popisa1"/>
    <w:basedOn w:val="Normal"/>
    <w:qFormat/>
    <w:rsid w:val="0036431A"/>
    <w:pPr>
      <w:spacing w:after="160" w:line="259" w:lineRule="auto"/>
      <w:ind w:left="720"/>
    </w:pPr>
    <w:rPr>
      <w:rFonts w:eastAsia="Calibri" w:cs="Calibri"/>
      <w:lang w:eastAsia="en-US"/>
    </w:rPr>
  </w:style>
  <w:style w:type="table" w:styleId="Reetkatablice">
    <w:name w:val="Table Grid"/>
    <w:basedOn w:val="Obinatablica"/>
    <w:rsid w:val="00C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1">
    <w:name w:val="bold1"/>
    <w:rsid w:val="003D7C8E"/>
    <w:rPr>
      <w:b/>
      <w:bCs/>
    </w:rPr>
  </w:style>
  <w:style w:type="character" w:styleId="Nerijeenospominjanje">
    <w:name w:val="Unresolved Mention"/>
    <w:uiPriority w:val="99"/>
    <w:semiHidden/>
    <w:unhideWhenUsed/>
    <w:rsid w:val="00C12495"/>
    <w:rPr>
      <w:color w:val="605E5C"/>
      <w:shd w:val="clear" w:color="auto" w:fill="E1DFDD"/>
    </w:rPr>
  </w:style>
  <w:style w:type="paragraph" w:styleId="StandardWeb">
    <w:name w:val="Normal (Web)"/>
    <w:basedOn w:val="Normal"/>
    <w:unhideWhenUsed/>
    <w:rsid w:val="00E64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tomasek@vino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OBAVIJEST U SVEZI NATJEČAJA</vt:lpstr>
    </vt:vector>
  </TitlesOfParts>
  <Company>Vinodolska Općina</Company>
  <LinksUpToDate>false</LinksUpToDate>
  <CharactersWithSpaces>7339</CharactersWithSpaces>
  <SharedDoc>false</SharedDoc>
  <HLinks>
    <vt:vector size="6" baseType="variant"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mailto:ana.tomasek@vinodol.hr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U SVEZI NATJEČAJA</dc:title>
  <dc:subject/>
  <dc:creator>Marinela Krešić Ljubanović</dc:creator>
  <cp:keywords/>
  <dc:description/>
  <cp:lastModifiedBy>Ana Tomašek</cp:lastModifiedBy>
  <cp:revision>4</cp:revision>
  <cp:lastPrinted>2024-03-14T08:39:00Z</cp:lastPrinted>
  <dcterms:created xsi:type="dcterms:W3CDTF">2024-04-25T12:35:00Z</dcterms:created>
  <dcterms:modified xsi:type="dcterms:W3CDTF">2024-04-26T07:37:00Z</dcterms:modified>
</cp:coreProperties>
</file>